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FB28" w14:textId="47BAEE08" w:rsidR="000C286B" w:rsidRDefault="000C286B" w:rsidP="000C286B">
      <w:pPr>
        <w:pStyle w:val="Title"/>
      </w:pPr>
      <w:r>
        <w:rPr>
          <w:noProof/>
        </w:rPr>
        <w:drawing>
          <wp:anchor distT="0" distB="0" distL="114300" distR="114300" simplePos="0" relativeHeight="251658240" behindDoc="0" locked="0" layoutInCell="1" allowOverlap="1" wp14:anchorId="694A8537" wp14:editId="308871D9">
            <wp:simplePos x="0" y="0"/>
            <wp:positionH relativeFrom="column">
              <wp:posOffset>-85725</wp:posOffset>
            </wp:positionH>
            <wp:positionV relativeFrom="page">
              <wp:posOffset>190500</wp:posOffset>
            </wp:positionV>
            <wp:extent cx="1657350" cy="144970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5" cstate="print">
                      <a:extLst>
                        <a:ext uri="{28A0092B-C50C-407E-A947-70E740481C1C}">
                          <a14:useLocalDpi xmlns:a14="http://schemas.microsoft.com/office/drawing/2010/main" val="0"/>
                        </a:ext>
                      </a:extLst>
                    </a:blip>
                    <a:srcRect l="8475" t="9607" r="5274" b="13876"/>
                    <a:stretch/>
                  </pic:blipFill>
                  <pic:spPr bwMode="auto">
                    <a:xfrm>
                      <a:off x="0" y="0"/>
                      <a:ext cx="1657350" cy="1449705"/>
                    </a:xfrm>
                    <a:prstGeom prst="rect">
                      <a:avLst/>
                    </a:prstGeom>
                    <a:ln>
                      <a:noFill/>
                    </a:ln>
                    <a:extLst>
                      <a:ext uri="{53640926-AAD7-44D8-BBD7-CCE9431645EC}">
                        <a14:shadowObscured xmlns:a14="http://schemas.microsoft.com/office/drawing/2010/main"/>
                      </a:ext>
                    </a:extLst>
                  </pic:spPr>
                </pic:pic>
              </a:graphicData>
            </a:graphic>
          </wp:anchor>
        </w:drawing>
      </w:r>
    </w:p>
    <w:p w14:paraId="2B406671" w14:textId="5ACF8CEC" w:rsidR="000C286B" w:rsidRDefault="00623642" w:rsidP="000C286B">
      <w:pPr>
        <w:pStyle w:val="Title"/>
      </w:pPr>
      <w:r>
        <w:br/>
      </w:r>
      <w:r w:rsidR="00295520">
        <w:t>Safe b</w:t>
      </w:r>
      <w:r w:rsidR="000C286B">
        <w:t>alloon gas storage and use</w:t>
      </w:r>
    </w:p>
    <w:p w14:paraId="7C29B385" w14:textId="77777777" w:rsidR="00295520" w:rsidRDefault="00295520"/>
    <w:p w14:paraId="33CA4736" w14:textId="77777777" w:rsidR="00295520" w:rsidRPr="00295520" w:rsidRDefault="000C286B" w:rsidP="00295520">
      <w:r>
        <w:t xml:space="preserve">The high-pressure cylinder of Balloon Gas provides the lifting gas for the Navigate </w:t>
      </w:r>
      <w:proofErr w:type="gramStart"/>
      <w:r>
        <w:t>To</w:t>
      </w:r>
      <w:proofErr w:type="gramEnd"/>
      <w:r>
        <w:t xml:space="preserve"> The Line aircraft.  A single cylinder can fill several pairs of </w:t>
      </w:r>
      <w:r w:rsidR="00295520">
        <w:t xml:space="preserve">1m diameter </w:t>
      </w:r>
      <w:r>
        <w:t>balloons to enable a challenge involving many students, especially when teams are encouraged to share balloons.</w:t>
      </w:r>
      <w:r w:rsidR="00295520">
        <w:t xml:space="preserve">  </w:t>
      </w:r>
      <w:r w:rsidR="00295520" w:rsidRPr="00295520">
        <w:t>With planning and testing of the lifting potential of Balloon gas, students can create their craft in advance and only need to have access to the Balloon Gas an</w:t>
      </w:r>
      <w:r w:rsidR="00295520">
        <w:t>d</w:t>
      </w:r>
      <w:r w:rsidR="00295520" w:rsidRPr="00295520">
        <w:t xml:space="preserve"> inflated balloons for a short period of time.</w:t>
      </w:r>
    </w:p>
    <w:p w14:paraId="26679B32" w14:textId="253CF284" w:rsidR="00295520" w:rsidRPr="00295520" w:rsidRDefault="00295520">
      <w:pPr>
        <w:rPr>
          <w:b/>
        </w:rPr>
      </w:pPr>
      <w:r w:rsidRPr="00295520">
        <w:rPr>
          <w:b/>
        </w:rPr>
        <w:t>About ballo</w:t>
      </w:r>
      <w:r>
        <w:rPr>
          <w:b/>
        </w:rPr>
        <w:t>o</w:t>
      </w:r>
      <w:r w:rsidRPr="00295520">
        <w:rPr>
          <w:b/>
        </w:rPr>
        <w:t>n gas and cylinders</w:t>
      </w:r>
    </w:p>
    <w:p w14:paraId="3D0DC530" w14:textId="47BBFD82" w:rsidR="000C286B" w:rsidRDefault="000C286B">
      <w:r>
        <w:t>Balloon gas is comprised primar</w:t>
      </w:r>
      <w:r w:rsidR="00295520">
        <w:t>i</w:t>
      </w:r>
      <w:r>
        <w:t xml:space="preserve">ly of </w:t>
      </w:r>
      <w:r w:rsidR="00295520">
        <w:t xml:space="preserve">the noble gas </w:t>
      </w:r>
      <w:r>
        <w:t xml:space="preserve">Helium with a few other light gases mixed in. It is </w:t>
      </w:r>
      <w:r w:rsidRPr="00295520">
        <w:rPr>
          <w:b/>
        </w:rPr>
        <w:t>non-toxic</w:t>
      </w:r>
      <w:r>
        <w:t xml:space="preserve">, and </w:t>
      </w:r>
      <w:r w:rsidRPr="00295520">
        <w:rPr>
          <w:b/>
        </w:rPr>
        <w:t>non-flammable</w:t>
      </w:r>
      <w:r>
        <w:t xml:space="preserve"> and is safe to use in any well-ventilated area. The cylinders are the same as would be used at an eduation event where there are floating balloons or at a party shop selling floating inflatables.</w:t>
      </w:r>
    </w:p>
    <w:p w14:paraId="773C0C4A" w14:textId="33BEBEB3" w:rsidR="000C286B" w:rsidRDefault="000C286B">
      <w:r>
        <w:t>The cylinders used are supplied for the</w:t>
      </w:r>
      <w:r w:rsidR="00295520">
        <w:t xml:space="preserve"> </w:t>
      </w:r>
      <w:r w:rsidR="00623642">
        <w:t>period</w:t>
      </w:r>
      <w:r>
        <w:t xml:space="preserve"> needed to complete the challenge and </w:t>
      </w:r>
      <w:r w:rsidR="00623642">
        <w:t xml:space="preserve">are </w:t>
      </w:r>
      <w:r>
        <w:t>delivered and recovered from the school by a BOC delivery service to a schedule agreed with a school contact.</w:t>
      </w:r>
    </w:p>
    <w:p w14:paraId="24AF520A" w14:textId="43AD05A0" w:rsidR="00295520" w:rsidRPr="000C286B" w:rsidRDefault="000C286B">
      <w:pPr>
        <w:rPr>
          <w:b/>
        </w:rPr>
      </w:pPr>
      <w:r w:rsidRPr="000C286B">
        <w:rPr>
          <w:b/>
        </w:rPr>
        <w:t xml:space="preserve">General risks with high pressure </w:t>
      </w:r>
      <w:r>
        <w:rPr>
          <w:b/>
        </w:rPr>
        <w:t>helium c</w:t>
      </w:r>
      <w:r w:rsidRPr="000C286B">
        <w:rPr>
          <w:b/>
        </w:rPr>
        <w:t>ylinders.</w:t>
      </w:r>
    </w:p>
    <w:p w14:paraId="5B75160E" w14:textId="78D108BC" w:rsidR="000C286B" w:rsidRDefault="000C286B" w:rsidP="000C286B">
      <w:pPr>
        <w:pStyle w:val="ListParagraph"/>
        <w:numPr>
          <w:ilvl w:val="0"/>
          <w:numId w:val="2"/>
        </w:numPr>
      </w:pPr>
      <w:r>
        <w:t>Explosion of the cylinder due to mechanical damage.</w:t>
      </w:r>
    </w:p>
    <w:p w14:paraId="35DBEE14" w14:textId="5C287C3E" w:rsidR="000C286B" w:rsidRDefault="000C286B" w:rsidP="000C286B">
      <w:pPr>
        <w:pStyle w:val="ListParagraph"/>
        <w:numPr>
          <w:ilvl w:val="0"/>
          <w:numId w:val="2"/>
        </w:numPr>
      </w:pPr>
      <w:r>
        <w:t xml:space="preserve">Exposure to released </w:t>
      </w:r>
      <w:r w:rsidR="00295520">
        <w:t>gas</w:t>
      </w:r>
      <w:r w:rsidR="000E1A9D">
        <w:t>.</w:t>
      </w:r>
    </w:p>
    <w:p w14:paraId="03C2F81D" w14:textId="77777777" w:rsidR="000C286B" w:rsidRDefault="000C286B" w:rsidP="000C286B">
      <w:pPr>
        <w:pStyle w:val="ListParagraph"/>
        <w:numPr>
          <w:ilvl w:val="0"/>
          <w:numId w:val="2"/>
        </w:numPr>
      </w:pPr>
      <w:r>
        <w:t>Over-pressurisation in the event of fire.</w:t>
      </w:r>
    </w:p>
    <w:p w14:paraId="69B53086" w14:textId="77777777" w:rsidR="000C286B" w:rsidRDefault="000C286B" w:rsidP="000C286B">
      <w:pPr>
        <w:pStyle w:val="ListParagraph"/>
        <w:numPr>
          <w:ilvl w:val="0"/>
          <w:numId w:val="2"/>
        </w:numPr>
      </w:pPr>
      <w:r>
        <w:t>Impact from falling cylinders.</w:t>
      </w:r>
    </w:p>
    <w:p w14:paraId="29EDD506" w14:textId="284EBA22" w:rsidR="000C286B" w:rsidRDefault="000C286B" w:rsidP="000C286B">
      <w:pPr>
        <w:pStyle w:val="ListParagraph"/>
        <w:numPr>
          <w:ilvl w:val="0"/>
          <w:numId w:val="2"/>
        </w:numPr>
      </w:pPr>
      <w:r>
        <w:t>Manual handling injuries.</w:t>
      </w:r>
    </w:p>
    <w:p w14:paraId="6F476FA8" w14:textId="201FA906" w:rsidR="000C286B" w:rsidRDefault="000E1A9D" w:rsidP="000C286B">
      <w:pPr>
        <w:rPr>
          <w:b/>
        </w:rPr>
      </w:pPr>
      <w:r>
        <w:rPr>
          <w:b/>
        </w:rPr>
        <w:t>Balloon gas s</w:t>
      </w:r>
      <w:r w:rsidR="00295520" w:rsidRPr="00295520">
        <w:rPr>
          <w:b/>
        </w:rPr>
        <w:t>torage</w:t>
      </w:r>
      <w:r w:rsidR="00295520">
        <w:rPr>
          <w:b/>
        </w:rPr>
        <w:t xml:space="preserve"> and handling</w:t>
      </w:r>
      <w:r>
        <w:rPr>
          <w:b/>
        </w:rPr>
        <w:t xml:space="preserve"> advice from BOC</w:t>
      </w:r>
      <w:r w:rsidR="00295520">
        <w:rPr>
          <w:b/>
        </w:rPr>
        <w:t>.</w:t>
      </w:r>
    </w:p>
    <w:p w14:paraId="79C57DCD" w14:textId="0CD67565" w:rsidR="00E428CA" w:rsidRPr="00E428CA" w:rsidRDefault="00E428CA" w:rsidP="00E428CA">
      <w:pPr>
        <w:pStyle w:val="ListParagraph"/>
        <w:numPr>
          <w:ilvl w:val="0"/>
          <w:numId w:val="6"/>
        </w:numPr>
      </w:pPr>
      <w:r w:rsidRPr="00E428CA">
        <w:t>Balloon gas cylinders can rupture when heated in a fire.</w:t>
      </w:r>
    </w:p>
    <w:p w14:paraId="28781517" w14:textId="3AE0A07C" w:rsidR="00E428CA" w:rsidRPr="00E428CA" w:rsidRDefault="00E428CA" w:rsidP="00E428CA">
      <w:pPr>
        <w:pStyle w:val="ListParagraph"/>
        <w:numPr>
          <w:ilvl w:val="0"/>
          <w:numId w:val="6"/>
        </w:numPr>
      </w:pPr>
      <w:r w:rsidRPr="00E428CA">
        <w:t>Store them in a well-ventilated, non-smoking area, away from other flammable materials and sources of ignition or heat.</w:t>
      </w:r>
    </w:p>
    <w:p w14:paraId="21CDD153" w14:textId="1AC52ADF" w:rsidR="00E428CA" w:rsidRPr="00E428CA" w:rsidRDefault="00E428CA" w:rsidP="00E428CA">
      <w:pPr>
        <w:pStyle w:val="ListParagraph"/>
        <w:numPr>
          <w:ilvl w:val="0"/>
          <w:numId w:val="6"/>
        </w:numPr>
      </w:pPr>
      <w:r w:rsidRPr="00E428CA">
        <w:t xml:space="preserve">Store cylinders in an upright position and secure them to prevent toppling.  Never turn your back on a free-standing </w:t>
      </w:r>
      <w:r>
        <w:t xml:space="preserve">tall </w:t>
      </w:r>
      <w:r w:rsidRPr="00E428CA">
        <w:t xml:space="preserve">cylinder.  </w:t>
      </w:r>
      <w:r>
        <w:t>T</w:t>
      </w:r>
      <w:r w:rsidRPr="00E428CA">
        <w:t xml:space="preserve">rolleys and straps </w:t>
      </w:r>
      <w:r>
        <w:t>are available to secure cylinders</w:t>
      </w:r>
      <w:r w:rsidRPr="00E428CA">
        <w:t>.</w:t>
      </w:r>
    </w:p>
    <w:p w14:paraId="579D0B46" w14:textId="0AA5EEC1" w:rsidR="00E428CA" w:rsidRPr="00E428CA" w:rsidRDefault="00E428CA" w:rsidP="00E428CA">
      <w:pPr>
        <w:pStyle w:val="ListParagraph"/>
        <w:numPr>
          <w:ilvl w:val="0"/>
          <w:numId w:val="6"/>
        </w:numPr>
      </w:pPr>
      <w:r w:rsidRPr="00E428CA">
        <w:t>Cylinders stored in the open should stand on a well</w:t>
      </w:r>
      <w:r>
        <w:t>-</w:t>
      </w:r>
      <w:r w:rsidRPr="00E428CA">
        <w:t>drained, flat surface.</w:t>
      </w:r>
    </w:p>
    <w:p w14:paraId="14DFB397" w14:textId="7A424F00" w:rsidR="000C286B" w:rsidRDefault="00295520">
      <w:r>
        <w:t xml:space="preserve">A lockable science storeroom with a door or ventilation brick to the outside would be fine.   Where an outside cylinder cage is available, that can also be used. The cylinders can be secured from falling when stored with a </w:t>
      </w:r>
      <w:r w:rsidR="00E428CA">
        <w:t>strap</w:t>
      </w:r>
      <w:r>
        <w:t xml:space="preserve"> or similar fixture. </w:t>
      </w:r>
    </w:p>
    <w:p w14:paraId="6F9D884C" w14:textId="3820AFBF" w:rsidR="00295520" w:rsidRDefault="00295520">
      <w:r>
        <w:t>A furniture trolley or similar can be used to move the gas cylinder between rooms</w:t>
      </w:r>
      <w:r w:rsidR="00E428CA">
        <w:t xml:space="preserve"> </w:t>
      </w:r>
      <w:r w:rsidR="00E428CA" w:rsidRPr="000E1A9D">
        <w:rPr>
          <w:u w:val="single"/>
        </w:rPr>
        <w:t xml:space="preserve">although balloons can be inflated </w:t>
      </w:r>
      <w:r w:rsidR="000E1A9D" w:rsidRPr="000E1A9D">
        <w:rPr>
          <w:u w:val="single"/>
        </w:rPr>
        <w:t xml:space="preserve">in a central location </w:t>
      </w:r>
      <w:r w:rsidR="00E428CA" w:rsidRPr="000E1A9D">
        <w:rPr>
          <w:u w:val="single"/>
        </w:rPr>
        <w:t>and taken to where they will be used, using tethers if going outside.</w:t>
      </w:r>
    </w:p>
    <w:p w14:paraId="4984779B" w14:textId="3259A6DE" w:rsidR="00910E6D" w:rsidRDefault="00623642">
      <w:r>
        <w:t>It is recommended that a teacher that has attend a Learning Partnership CPD session for Navigate To The Line take responsibility for inflating balloons</w:t>
      </w:r>
      <w:r w:rsidR="00910E6D">
        <w:t xml:space="preserve">, </w:t>
      </w:r>
      <w:r>
        <w:t xml:space="preserve">identifying the </w:t>
      </w:r>
      <w:r w:rsidR="00910E6D">
        <w:t xml:space="preserve">most appropriate </w:t>
      </w:r>
      <w:r>
        <w:t>storage location for the time the cylinder is on the school premises</w:t>
      </w:r>
      <w:r w:rsidR="00910E6D">
        <w:t xml:space="preserve"> and for liaising with any local H&amp;S responsible parties</w:t>
      </w:r>
      <w:r w:rsidR="00E428CA">
        <w:t>.</w:t>
      </w:r>
    </w:p>
    <w:p w14:paraId="346364D9" w14:textId="6AE89853" w:rsidR="004707CB" w:rsidRPr="004707CB" w:rsidRDefault="004707CB" w:rsidP="004707CB">
      <w:pPr>
        <w:jc w:val="center"/>
        <w:rPr>
          <w:b/>
          <w:color w:val="FF0000"/>
        </w:rPr>
      </w:pPr>
      <w:r w:rsidRPr="004707CB">
        <w:rPr>
          <w:b/>
          <w:color w:val="FF0000"/>
        </w:rPr>
        <w:t>** NEVER PERMIT STUDENTS OR STAFF TO INHALE THE BALLOON GAS **</w:t>
      </w:r>
    </w:p>
    <w:p w14:paraId="6F708DE8" w14:textId="084F33D8" w:rsidR="00623642" w:rsidRDefault="000E1A9D">
      <w:pPr>
        <w:rPr>
          <w:b/>
        </w:rPr>
      </w:pPr>
      <w:r>
        <w:rPr>
          <w:b/>
        </w:rPr>
        <w:br w:type="page"/>
      </w:r>
      <w:bookmarkStart w:id="0" w:name="_GoBack"/>
      <w:bookmarkEnd w:id="0"/>
      <w:r w:rsidR="00910E6D" w:rsidRPr="00910E6D">
        <w:rPr>
          <w:b/>
        </w:rPr>
        <w:t>Operation of the gas cylinder with balloons</w:t>
      </w:r>
    </w:p>
    <w:p w14:paraId="2081B43C" w14:textId="165C8D8A" w:rsidR="00910E6D" w:rsidRDefault="00910E6D">
      <w:r w:rsidRPr="00910E6D">
        <w:t>Cylinders are provided with a latex balloon adaptor</w:t>
      </w:r>
      <w:r w:rsidR="00E428CA">
        <w:t xml:space="preserve"> to aid filling of the balloons.</w:t>
      </w:r>
    </w:p>
    <w:p w14:paraId="681F6B75" w14:textId="491FD6AD" w:rsidR="00E428CA" w:rsidRDefault="00E428CA">
      <w:pPr>
        <w:rPr>
          <w:noProof/>
        </w:rPr>
      </w:pPr>
      <w:r>
        <w:t xml:space="preserve">This should be attached, but if supplied separately, then can be screwed on to the thread by hand </w:t>
      </w:r>
      <w:r w:rsidRPr="00E428CA">
        <w:rPr>
          <w:i/>
        </w:rPr>
        <w:t>(do not use tools to tighten the adaptor on the valve)</w:t>
      </w:r>
      <w:r w:rsidRPr="00E428CA">
        <w:rPr>
          <w:noProof/>
        </w:rPr>
        <w:t xml:space="preserve"> </w:t>
      </w:r>
    </w:p>
    <w:p w14:paraId="4278BAB0" w14:textId="77777777" w:rsidR="00E428CA" w:rsidRDefault="00E428CA">
      <w:pPr>
        <w:rPr>
          <w:noProof/>
        </w:rPr>
      </w:pPr>
    </w:p>
    <w:p w14:paraId="551250A4" w14:textId="3CAC6755" w:rsidR="00E428CA" w:rsidRDefault="00E428CA" w:rsidP="00E428CA">
      <w:pPr>
        <w:jc w:val="center"/>
        <w:rPr>
          <w:i/>
        </w:rPr>
      </w:pPr>
      <w:r>
        <w:rPr>
          <w:noProof/>
        </w:rPr>
        <w:drawing>
          <wp:inline distT="0" distB="0" distL="0" distR="0" wp14:anchorId="6B1507D5" wp14:editId="20DA674C">
            <wp:extent cx="2019300" cy="1285875"/>
            <wp:effectExtent l="0" t="0" r="0" b="9525"/>
            <wp:docPr id="3" name="Picture 3" descr="https://www.boconline.co.uk/en/images/20110927_54852_212x135_476_tcm410-31354_w1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conline.co.uk/en/images/20110927_54852_212x135_476_tcm410-31354_w102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a:ln>
                      <a:noFill/>
                    </a:ln>
                  </pic:spPr>
                </pic:pic>
              </a:graphicData>
            </a:graphic>
          </wp:inline>
        </w:drawing>
      </w:r>
      <w:r>
        <w:rPr>
          <w:noProof/>
        </w:rPr>
        <w:drawing>
          <wp:inline distT="0" distB="0" distL="0" distR="0" wp14:anchorId="3D050970" wp14:editId="0547D433">
            <wp:extent cx="2019300" cy="1038225"/>
            <wp:effectExtent l="0" t="0" r="0" b="9525"/>
            <wp:docPr id="2" name="Picture 2" descr="https://www.boconline.co.uk/en/images/20110927_54850_212x109_477_tcm410-31352_w1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conline.co.uk/en/images/20110927_54850_212x109_477_tcm410-31352_w102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38225"/>
                    </a:xfrm>
                    <a:prstGeom prst="rect">
                      <a:avLst/>
                    </a:prstGeom>
                    <a:noFill/>
                    <a:ln>
                      <a:noFill/>
                    </a:ln>
                  </pic:spPr>
                </pic:pic>
              </a:graphicData>
            </a:graphic>
          </wp:inline>
        </w:drawing>
      </w:r>
    </w:p>
    <w:p w14:paraId="384692D0" w14:textId="5AF60C67" w:rsidR="000E1A9D" w:rsidRDefault="000E1A9D">
      <w:pPr>
        <w:rPr>
          <w:b/>
          <w:i/>
        </w:rPr>
      </w:pPr>
      <w:r>
        <w:rPr>
          <w:b/>
          <w:i/>
        </w:rPr>
        <w:t>To prepare the balloons.</w:t>
      </w:r>
    </w:p>
    <w:p w14:paraId="2C46C22E" w14:textId="5A9D5E18" w:rsidR="000E1A9D" w:rsidRDefault="000E1A9D">
      <w:r>
        <w:t xml:space="preserve">Helium molecules are very small and can escape through the latex membrane.  A bottle of </w:t>
      </w:r>
      <w:proofErr w:type="spellStart"/>
      <w:r>
        <w:t>HiFloat</w:t>
      </w:r>
      <w:proofErr w:type="spellEnd"/>
      <w:r>
        <w:t xml:space="preserve"> latex treatment is provided to each school</w:t>
      </w:r>
      <w:r w:rsidR="0013328F">
        <w:t xml:space="preserve">. Follow the instructions to inject 4 or 5 squirts of </w:t>
      </w:r>
      <w:proofErr w:type="spellStart"/>
      <w:r w:rsidR="0013328F">
        <w:t>HiFloat</w:t>
      </w:r>
      <w:proofErr w:type="spellEnd"/>
      <w:r w:rsidR="0013328F">
        <w:t xml:space="preserve"> into the neck of the balloon.   Knead the balloon for a minute to ensure the </w:t>
      </w:r>
      <w:proofErr w:type="spellStart"/>
      <w:r w:rsidR="0013328F">
        <w:t>HiFloat</w:t>
      </w:r>
      <w:proofErr w:type="spellEnd"/>
      <w:r w:rsidR="0013328F">
        <w:t xml:space="preserve"> treatment covers all the interior surface of the balloon. After inflation, the liquid will dry and form a gas impermeable barrier that will greatly reduce the loss of balloon gas and enable a pair of balloons to be used for several days by teams sharing them.  </w:t>
      </w:r>
    </w:p>
    <w:p w14:paraId="14E799B6" w14:textId="7DF6A2F8" w:rsidR="000E1A9D" w:rsidRPr="000E1A9D" w:rsidRDefault="000E1A9D" w:rsidP="0013328F">
      <w:pPr>
        <w:jc w:val="center"/>
      </w:pPr>
      <w:r>
        <w:rPr>
          <w:noProof/>
        </w:rPr>
        <w:drawing>
          <wp:inline distT="0" distB="0" distL="0" distR="0" wp14:anchorId="2582E6A8" wp14:editId="652866AA">
            <wp:extent cx="2362200" cy="2085975"/>
            <wp:effectExtent l="0" t="0" r="0" b="9525"/>
            <wp:docPr id="4" name="Picture 4" descr="Hi Float Balloon Treatment - 5oz Ultra Hi F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 Float Balloon Treatment - 5oz Ultra Hi Float"/>
                    <pic:cNvPicPr>
                      <a:picLocks noChangeAspect="1" noChangeArrowheads="1"/>
                    </pic:cNvPicPr>
                  </pic:nvPicPr>
                  <pic:blipFill rotWithShape="1">
                    <a:blip r:embed="rId8">
                      <a:extLst>
                        <a:ext uri="{28A0092B-C50C-407E-A947-70E740481C1C}">
                          <a14:useLocalDpi xmlns:a14="http://schemas.microsoft.com/office/drawing/2010/main" val="0"/>
                        </a:ext>
                      </a:extLst>
                    </a:blip>
                    <a:srcRect t="11694"/>
                    <a:stretch/>
                  </pic:blipFill>
                  <pic:spPr bwMode="auto">
                    <a:xfrm>
                      <a:off x="0" y="0"/>
                      <a:ext cx="2362200"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68D22817" w14:textId="47B2FAA6" w:rsidR="000E1A9D" w:rsidRPr="000E1A9D" w:rsidRDefault="00E428CA">
      <w:pPr>
        <w:rPr>
          <w:b/>
        </w:rPr>
      </w:pPr>
      <w:r w:rsidRPr="00E428CA">
        <w:rPr>
          <w:b/>
          <w:i/>
        </w:rPr>
        <w:t>To use</w:t>
      </w:r>
      <w:r w:rsidR="000E1A9D">
        <w:rPr>
          <w:b/>
          <w:i/>
        </w:rPr>
        <w:t xml:space="preserve"> the inflation adaptors</w:t>
      </w:r>
      <w:r w:rsidRPr="00E428CA">
        <w:rPr>
          <w:b/>
          <w:i/>
        </w:rPr>
        <w:t>:</w:t>
      </w:r>
    </w:p>
    <w:p w14:paraId="5451882A" w14:textId="61284166" w:rsidR="00910E6D" w:rsidRDefault="00E428CA">
      <w:r>
        <w:t>Open the main gas valve first</w:t>
      </w:r>
      <w:r w:rsidR="00D44A0F">
        <w:t>. T</w:t>
      </w:r>
      <w:r w:rsidR="00910E6D">
        <w:t xml:space="preserve">he </w:t>
      </w:r>
      <w:r>
        <w:t>adaptors release a supply of gas when pushed into the mouth of a balloon and pressed in or bent to the side.</w:t>
      </w:r>
    </w:p>
    <w:p w14:paraId="242966BA" w14:textId="37987917" w:rsidR="000E1A9D" w:rsidRDefault="000E1A9D">
      <w:r>
        <w:t>When inflation is complete, close the main valve to prevent any leakage.</w:t>
      </w:r>
    </w:p>
    <w:p w14:paraId="5796B394" w14:textId="77777777" w:rsidR="00D44A0F" w:rsidRDefault="00D44A0F">
      <w:pPr>
        <w:rPr>
          <w:b/>
          <w:i/>
        </w:rPr>
      </w:pPr>
    </w:p>
    <w:p w14:paraId="6F6A484F" w14:textId="72202E22" w:rsidR="000E1A9D" w:rsidRPr="00D44A0F" w:rsidRDefault="00D44A0F">
      <w:pPr>
        <w:rPr>
          <w:b/>
          <w:i/>
        </w:rPr>
      </w:pPr>
      <w:r w:rsidRPr="00D44A0F">
        <w:rPr>
          <w:b/>
          <w:i/>
        </w:rPr>
        <w:t>Do not overinflate</w:t>
      </w:r>
    </w:p>
    <w:p w14:paraId="3F4957F9" w14:textId="622FA36C" w:rsidR="00910E6D" w:rsidRDefault="000E1A9D">
      <w:pPr>
        <w:rPr>
          <w:b/>
        </w:rPr>
      </w:pPr>
      <w:r>
        <w:t>Do not inflate a balloon to a diameter in excess of 1m.  Most aircraft will fly with balloons inflated to 70-80cm diameter.  Using less gas will enable more teams to share more balloons. The optimal balloon size can be determined by experiments (see Lesson Resources)</w:t>
      </w:r>
    </w:p>
    <w:p w14:paraId="29AEB823" w14:textId="77476E14" w:rsidR="00910E6D" w:rsidRPr="00910E6D" w:rsidRDefault="00910E6D" w:rsidP="00910E6D">
      <w:pPr>
        <w:jc w:val="center"/>
        <w:rPr>
          <w:b/>
        </w:rPr>
        <w:sectPr w:rsidR="00910E6D" w:rsidRPr="00910E6D" w:rsidSect="00623642">
          <w:pgSz w:w="11906" w:h="16838"/>
          <w:pgMar w:top="1440" w:right="1080" w:bottom="1440" w:left="1080" w:header="708" w:footer="708" w:gutter="0"/>
          <w:cols w:space="708"/>
          <w:docGrid w:linePitch="360"/>
        </w:sectPr>
      </w:pPr>
    </w:p>
    <w:p w14:paraId="13B8408C" w14:textId="77777777" w:rsidR="00451EBF" w:rsidRDefault="00451EBF" w:rsidP="00451EBF">
      <w:pPr>
        <w:autoSpaceDE w:val="0"/>
        <w:autoSpaceDN w:val="0"/>
        <w:adjustRightInd w:val="0"/>
        <w:spacing w:line="240" w:lineRule="auto"/>
        <w:jc w:val="center"/>
        <w:rPr>
          <w:rFonts w:cstheme="minorHAnsi"/>
          <w:sz w:val="32"/>
        </w:rPr>
      </w:pPr>
    </w:p>
    <w:p w14:paraId="39958518" w14:textId="082E189D" w:rsidR="00451EBF" w:rsidRPr="00451EBF" w:rsidRDefault="00451EBF" w:rsidP="00451EBF">
      <w:pPr>
        <w:autoSpaceDE w:val="0"/>
        <w:autoSpaceDN w:val="0"/>
        <w:adjustRightInd w:val="0"/>
        <w:spacing w:line="240" w:lineRule="auto"/>
        <w:jc w:val="center"/>
        <w:rPr>
          <w:rFonts w:cstheme="minorHAnsi"/>
          <w:sz w:val="32"/>
        </w:rPr>
      </w:pPr>
      <w:r w:rsidRPr="00505F86">
        <w:rPr>
          <w:rFonts w:cstheme="minorHAnsi"/>
          <w:sz w:val="32"/>
        </w:rPr>
        <w:t>RISK ASSESSMENT:</w:t>
      </w:r>
      <w:r w:rsidRPr="009146ED">
        <w:rPr>
          <w:rFonts w:cstheme="minorHAnsi"/>
          <w:sz w:val="32"/>
        </w:rPr>
        <w:t xml:space="preserve"> </w:t>
      </w:r>
      <w:r>
        <w:rPr>
          <w:rFonts w:cstheme="minorHAnsi"/>
          <w:sz w:val="32"/>
        </w:rPr>
        <w:t>NAVIGATE TO THE LINE WORKSHOP</w:t>
      </w:r>
      <w:r w:rsidRPr="009146ED">
        <w:rPr>
          <w:rFonts w:cstheme="minorHAnsi"/>
          <w:sz w:val="32"/>
        </w:rPr>
        <w:t xml:space="preserve"> </w:t>
      </w:r>
    </w:p>
    <w:tbl>
      <w:tblPr>
        <w:tblStyle w:val="TableGrid"/>
        <w:tblW w:w="0" w:type="auto"/>
        <w:tblLook w:val="04A0" w:firstRow="1" w:lastRow="0" w:firstColumn="1" w:lastColumn="0" w:noHBand="0" w:noVBand="1"/>
      </w:tblPr>
      <w:tblGrid>
        <w:gridCol w:w="1866"/>
        <w:gridCol w:w="2028"/>
        <w:gridCol w:w="2339"/>
        <w:gridCol w:w="623"/>
        <w:gridCol w:w="623"/>
        <w:gridCol w:w="625"/>
        <w:gridCol w:w="5304"/>
        <w:gridCol w:w="623"/>
        <w:gridCol w:w="623"/>
        <w:gridCol w:w="625"/>
      </w:tblGrid>
      <w:tr w:rsidR="00451EBF" w:rsidRPr="009146ED" w14:paraId="7E839D69" w14:textId="77777777" w:rsidTr="00451EBF">
        <w:trPr>
          <w:trHeight w:val="537"/>
        </w:trPr>
        <w:tc>
          <w:tcPr>
            <w:tcW w:w="1866" w:type="dxa"/>
          </w:tcPr>
          <w:p w14:paraId="381FC97A" w14:textId="77777777" w:rsidR="00451EBF" w:rsidRPr="009146ED" w:rsidRDefault="00451EBF" w:rsidP="00451EBF">
            <w:pPr>
              <w:autoSpaceDE w:val="0"/>
              <w:autoSpaceDN w:val="0"/>
              <w:adjustRightInd w:val="0"/>
              <w:rPr>
                <w:rFonts w:cstheme="minorHAnsi"/>
                <w:b/>
              </w:rPr>
            </w:pPr>
            <w:r w:rsidRPr="009146ED">
              <w:rPr>
                <w:rFonts w:cstheme="minorHAnsi"/>
                <w:b/>
              </w:rPr>
              <w:t>ACTIVITY</w:t>
            </w:r>
          </w:p>
        </w:tc>
        <w:tc>
          <w:tcPr>
            <w:tcW w:w="2028" w:type="dxa"/>
            <w:shd w:val="clear" w:color="auto" w:fill="auto"/>
          </w:tcPr>
          <w:p w14:paraId="36812C68" w14:textId="77777777" w:rsidR="00451EBF" w:rsidRPr="009146ED" w:rsidRDefault="00451EBF" w:rsidP="00451EBF">
            <w:pPr>
              <w:autoSpaceDE w:val="0"/>
              <w:autoSpaceDN w:val="0"/>
              <w:adjustRightInd w:val="0"/>
              <w:rPr>
                <w:rFonts w:cstheme="minorHAnsi"/>
                <w:b/>
              </w:rPr>
            </w:pPr>
            <w:r w:rsidRPr="009146ED">
              <w:rPr>
                <w:rFonts w:cstheme="minorHAnsi"/>
                <w:b/>
              </w:rPr>
              <w:t>PERSON AT RISK</w:t>
            </w:r>
          </w:p>
        </w:tc>
        <w:tc>
          <w:tcPr>
            <w:tcW w:w="2339" w:type="dxa"/>
          </w:tcPr>
          <w:p w14:paraId="14915884" w14:textId="77777777" w:rsidR="00451EBF" w:rsidRPr="009146ED" w:rsidRDefault="00451EBF" w:rsidP="00451EBF">
            <w:pPr>
              <w:autoSpaceDE w:val="0"/>
              <w:autoSpaceDN w:val="0"/>
              <w:adjustRightInd w:val="0"/>
              <w:rPr>
                <w:rFonts w:cstheme="minorHAnsi"/>
                <w:b/>
              </w:rPr>
            </w:pPr>
            <w:r w:rsidRPr="009146ED">
              <w:rPr>
                <w:rFonts w:cstheme="minorHAnsi"/>
                <w:b/>
              </w:rPr>
              <w:t>SIGNIFICANT HAZARDS</w:t>
            </w:r>
          </w:p>
        </w:tc>
        <w:tc>
          <w:tcPr>
            <w:tcW w:w="1871" w:type="dxa"/>
            <w:gridSpan w:val="3"/>
            <w:shd w:val="clear" w:color="auto" w:fill="FBE4D5" w:themeFill="accent2" w:themeFillTint="33"/>
          </w:tcPr>
          <w:p w14:paraId="26FD856A" w14:textId="77777777" w:rsidR="00451EBF" w:rsidRPr="009146ED" w:rsidRDefault="00451EBF" w:rsidP="00451EBF">
            <w:pPr>
              <w:autoSpaceDE w:val="0"/>
              <w:autoSpaceDN w:val="0"/>
              <w:adjustRightInd w:val="0"/>
              <w:rPr>
                <w:rFonts w:cstheme="minorHAnsi"/>
                <w:b/>
              </w:rPr>
            </w:pPr>
            <w:r w:rsidRPr="009146ED">
              <w:rPr>
                <w:rFonts w:cstheme="minorHAnsi"/>
                <w:b/>
              </w:rPr>
              <w:t>RISK*</w:t>
            </w:r>
            <w:r w:rsidRPr="009146ED">
              <w:rPr>
                <w:rFonts w:cstheme="minorHAnsi"/>
                <w:b/>
              </w:rPr>
              <w:br/>
              <w:t>L           S        DR</w:t>
            </w:r>
          </w:p>
        </w:tc>
        <w:tc>
          <w:tcPr>
            <w:tcW w:w="5304" w:type="dxa"/>
            <w:shd w:val="clear" w:color="auto" w:fill="E2EFD9" w:themeFill="accent6" w:themeFillTint="33"/>
          </w:tcPr>
          <w:p w14:paraId="66F3F598" w14:textId="77777777" w:rsidR="00451EBF" w:rsidRPr="009146ED" w:rsidRDefault="00451EBF" w:rsidP="00451EBF">
            <w:pPr>
              <w:autoSpaceDE w:val="0"/>
              <w:autoSpaceDN w:val="0"/>
              <w:adjustRightInd w:val="0"/>
              <w:rPr>
                <w:rFonts w:cstheme="minorHAnsi"/>
                <w:b/>
              </w:rPr>
            </w:pPr>
            <w:r w:rsidRPr="009146ED">
              <w:rPr>
                <w:rFonts w:cstheme="minorHAnsi"/>
                <w:b/>
              </w:rPr>
              <w:t>RISK CONTROL MEASURES</w:t>
            </w:r>
          </w:p>
        </w:tc>
        <w:tc>
          <w:tcPr>
            <w:tcW w:w="1871" w:type="dxa"/>
            <w:gridSpan w:val="3"/>
            <w:shd w:val="clear" w:color="auto" w:fill="FBE4D5" w:themeFill="accent2" w:themeFillTint="33"/>
          </w:tcPr>
          <w:p w14:paraId="3821AA00" w14:textId="77777777" w:rsidR="00451EBF" w:rsidRPr="009146ED" w:rsidRDefault="00451EBF" w:rsidP="00451EBF">
            <w:pPr>
              <w:autoSpaceDE w:val="0"/>
              <w:autoSpaceDN w:val="0"/>
              <w:adjustRightInd w:val="0"/>
              <w:rPr>
                <w:rFonts w:cstheme="minorHAnsi"/>
                <w:b/>
              </w:rPr>
            </w:pPr>
            <w:r w:rsidRPr="009146ED">
              <w:rPr>
                <w:rFonts w:cstheme="minorHAnsi"/>
                <w:b/>
              </w:rPr>
              <w:t>RISK*</w:t>
            </w:r>
            <w:r w:rsidRPr="009146ED">
              <w:rPr>
                <w:rFonts w:cstheme="minorHAnsi"/>
                <w:b/>
              </w:rPr>
              <w:br/>
              <w:t>L           S        DR</w:t>
            </w:r>
          </w:p>
        </w:tc>
      </w:tr>
      <w:tr w:rsidR="00451EBF" w14:paraId="1E093BA4" w14:textId="77777777" w:rsidTr="00451EBF">
        <w:trPr>
          <w:trHeight w:val="1120"/>
        </w:trPr>
        <w:tc>
          <w:tcPr>
            <w:tcW w:w="1866" w:type="dxa"/>
          </w:tcPr>
          <w:p w14:paraId="589F1164" w14:textId="06D42AF6" w:rsidR="00451EBF" w:rsidRDefault="00451EBF" w:rsidP="00451EBF">
            <w:pPr>
              <w:autoSpaceDE w:val="0"/>
              <w:autoSpaceDN w:val="0"/>
              <w:adjustRightInd w:val="0"/>
              <w:rPr>
                <w:rFonts w:cstheme="minorHAnsi"/>
              </w:rPr>
            </w:pPr>
            <w:r>
              <w:rPr>
                <w:rFonts w:cstheme="minorHAnsi"/>
              </w:rPr>
              <w:t>Storage and use of Balloon gas</w:t>
            </w:r>
          </w:p>
        </w:tc>
        <w:tc>
          <w:tcPr>
            <w:tcW w:w="2028" w:type="dxa"/>
            <w:shd w:val="clear" w:color="auto" w:fill="auto"/>
          </w:tcPr>
          <w:p w14:paraId="696B01BE" w14:textId="5304480C" w:rsidR="00451EBF" w:rsidRDefault="00451EBF" w:rsidP="00451EBF">
            <w:pPr>
              <w:autoSpaceDE w:val="0"/>
              <w:autoSpaceDN w:val="0"/>
              <w:adjustRightInd w:val="0"/>
              <w:rPr>
                <w:rFonts w:cstheme="minorHAnsi"/>
              </w:rPr>
            </w:pPr>
            <w:r>
              <w:rPr>
                <w:rFonts w:cstheme="minorHAnsi"/>
              </w:rPr>
              <w:t xml:space="preserve">Staff </w:t>
            </w:r>
            <w:r>
              <w:rPr>
                <w:rFonts w:cstheme="minorHAnsi"/>
              </w:rPr>
              <w:t>members and others in the vicinity</w:t>
            </w:r>
          </w:p>
        </w:tc>
        <w:tc>
          <w:tcPr>
            <w:tcW w:w="2339" w:type="dxa"/>
          </w:tcPr>
          <w:p w14:paraId="492EBCC0" w14:textId="1B1F3204" w:rsidR="00451EBF" w:rsidRDefault="00451EBF" w:rsidP="00451EBF">
            <w:pPr>
              <w:autoSpaceDE w:val="0"/>
              <w:autoSpaceDN w:val="0"/>
              <w:adjustRightInd w:val="0"/>
              <w:rPr>
                <w:rFonts w:cstheme="minorHAnsi"/>
              </w:rPr>
            </w:pPr>
            <w:r>
              <w:rPr>
                <w:rFonts w:cstheme="minorHAnsi"/>
              </w:rPr>
              <w:t>Explosion, physical injury, asphyxiation</w:t>
            </w:r>
          </w:p>
        </w:tc>
        <w:tc>
          <w:tcPr>
            <w:tcW w:w="623" w:type="dxa"/>
            <w:shd w:val="clear" w:color="auto" w:fill="FBE4D5" w:themeFill="accent2" w:themeFillTint="33"/>
          </w:tcPr>
          <w:p w14:paraId="210BECB7" w14:textId="7BA6B825" w:rsidR="00451EBF" w:rsidRDefault="00451EBF" w:rsidP="00451EBF">
            <w:pPr>
              <w:autoSpaceDE w:val="0"/>
              <w:autoSpaceDN w:val="0"/>
              <w:adjustRightInd w:val="0"/>
              <w:rPr>
                <w:rFonts w:cstheme="minorHAnsi"/>
              </w:rPr>
            </w:pPr>
            <w:r>
              <w:rPr>
                <w:rFonts w:cstheme="minorHAnsi"/>
              </w:rPr>
              <w:t>1</w:t>
            </w:r>
          </w:p>
        </w:tc>
        <w:tc>
          <w:tcPr>
            <w:tcW w:w="623" w:type="dxa"/>
            <w:shd w:val="clear" w:color="auto" w:fill="FBE4D5" w:themeFill="accent2" w:themeFillTint="33"/>
          </w:tcPr>
          <w:p w14:paraId="6184EF96" w14:textId="45F36A9D" w:rsidR="00451EBF" w:rsidRDefault="00451EBF" w:rsidP="00451EBF">
            <w:pPr>
              <w:autoSpaceDE w:val="0"/>
              <w:autoSpaceDN w:val="0"/>
              <w:adjustRightInd w:val="0"/>
              <w:rPr>
                <w:rFonts w:cstheme="minorHAnsi"/>
              </w:rPr>
            </w:pPr>
            <w:r>
              <w:rPr>
                <w:rFonts w:cstheme="minorHAnsi"/>
              </w:rPr>
              <w:t>5</w:t>
            </w:r>
          </w:p>
        </w:tc>
        <w:tc>
          <w:tcPr>
            <w:tcW w:w="625" w:type="dxa"/>
            <w:shd w:val="clear" w:color="auto" w:fill="FF0000"/>
          </w:tcPr>
          <w:p w14:paraId="43E835CB" w14:textId="264DD696" w:rsidR="00451EBF"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5</w:t>
            </w:r>
          </w:p>
        </w:tc>
        <w:tc>
          <w:tcPr>
            <w:tcW w:w="5304" w:type="dxa"/>
            <w:shd w:val="clear" w:color="auto" w:fill="E2EFD9" w:themeFill="accent6" w:themeFillTint="33"/>
          </w:tcPr>
          <w:p w14:paraId="4186E7A0" w14:textId="72433640" w:rsidR="000E1A9D" w:rsidRDefault="00451EBF" w:rsidP="00451EBF">
            <w:pPr>
              <w:pStyle w:val="ListParagraph"/>
              <w:numPr>
                <w:ilvl w:val="0"/>
                <w:numId w:val="3"/>
              </w:numPr>
              <w:autoSpaceDE w:val="0"/>
              <w:autoSpaceDN w:val="0"/>
              <w:adjustRightInd w:val="0"/>
              <w:rPr>
                <w:rFonts w:cstheme="minorHAnsi"/>
                <w:sz w:val="18"/>
                <w:szCs w:val="18"/>
              </w:rPr>
            </w:pPr>
            <w:r>
              <w:rPr>
                <w:rFonts w:cstheme="minorHAnsi"/>
                <w:sz w:val="18"/>
                <w:szCs w:val="18"/>
              </w:rPr>
              <w:t xml:space="preserve">Store cylinders not in use, in a ventilated, lockable storeroom or walk in cupboard. </w:t>
            </w:r>
            <w:r w:rsidR="000E1A9D">
              <w:rPr>
                <w:rFonts w:cstheme="minorHAnsi"/>
                <w:sz w:val="18"/>
                <w:szCs w:val="18"/>
              </w:rPr>
              <w:t xml:space="preserve">A </w:t>
            </w:r>
            <w:r>
              <w:rPr>
                <w:rFonts w:cstheme="minorHAnsi"/>
                <w:sz w:val="18"/>
                <w:szCs w:val="18"/>
              </w:rPr>
              <w:t>cylinder cage</w:t>
            </w:r>
            <w:r w:rsidR="000E1A9D">
              <w:rPr>
                <w:rFonts w:cstheme="minorHAnsi"/>
                <w:sz w:val="18"/>
                <w:szCs w:val="18"/>
              </w:rPr>
              <w:t xml:space="preserve"> </w:t>
            </w:r>
            <w:r>
              <w:rPr>
                <w:rFonts w:cstheme="minorHAnsi"/>
                <w:sz w:val="18"/>
                <w:szCs w:val="18"/>
              </w:rPr>
              <w:t>can be used</w:t>
            </w:r>
            <w:r w:rsidR="000E1A9D">
              <w:rPr>
                <w:rFonts w:cstheme="minorHAnsi"/>
                <w:sz w:val="18"/>
                <w:szCs w:val="18"/>
              </w:rPr>
              <w:t xml:space="preserve"> if available. </w:t>
            </w:r>
          </w:p>
          <w:p w14:paraId="76703530" w14:textId="5BFE3011" w:rsidR="00451EBF" w:rsidRDefault="000E1A9D" w:rsidP="00451EBF">
            <w:pPr>
              <w:pStyle w:val="ListParagraph"/>
              <w:numPr>
                <w:ilvl w:val="0"/>
                <w:numId w:val="3"/>
              </w:numPr>
              <w:autoSpaceDE w:val="0"/>
              <w:autoSpaceDN w:val="0"/>
              <w:adjustRightInd w:val="0"/>
              <w:rPr>
                <w:rFonts w:cstheme="minorHAnsi"/>
                <w:sz w:val="18"/>
                <w:szCs w:val="18"/>
              </w:rPr>
            </w:pPr>
            <w:r>
              <w:rPr>
                <w:rFonts w:cstheme="minorHAnsi"/>
                <w:sz w:val="18"/>
                <w:szCs w:val="18"/>
              </w:rPr>
              <w:t>Fill balloons in the secure store and take them to classes</w:t>
            </w:r>
          </w:p>
          <w:p w14:paraId="0440D9AA" w14:textId="1592D955" w:rsidR="00451EBF" w:rsidRDefault="00451EBF" w:rsidP="00451EBF">
            <w:pPr>
              <w:pStyle w:val="ListParagraph"/>
              <w:numPr>
                <w:ilvl w:val="0"/>
                <w:numId w:val="3"/>
              </w:numPr>
              <w:autoSpaceDE w:val="0"/>
              <w:autoSpaceDN w:val="0"/>
              <w:adjustRightInd w:val="0"/>
              <w:rPr>
                <w:rFonts w:cstheme="minorHAnsi"/>
                <w:sz w:val="18"/>
                <w:szCs w:val="18"/>
              </w:rPr>
            </w:pPr>
            <w:r>
              <w:rPr>
                <w:rFonts w:cstheme="minorHAnsi"/>
                <w:sz w:val="18"/>
                <w:szCs w:val="18"/>
              </w:rPr>
              <w:t>Secure tall cylinders with a chain to prevent them falling</w:t>
            </w:r>
          </w:p>
          <w:p w14:paraId="29CFF9BE" w14:textId="0314DD60" w:rsidR="00451EBF" w:rsidRDefault="00451EBF" w:rsidP="00451EBF">
            <w:pPr>
              <w:pStyle w:val="ListParagraph"/>
              <w:numPr>
                <w:ilvl w:val="0"/>
                <w:numId w:val="3"/>
              </w:numPr>
              <w:autoSpaceDE w:val="0"/>
              <w:autoSpaceDN w:val="0"/>
              <w:adjustRightInd w:val="0"/>
              <w:rPr>
                <w:rFonts w:cstheme="minorHAnsi"/>
                <w:sz w:val="18"/>
                <w:szCs w:val="18"/>
              </w:rPr>
            </w:pPr>
            <w:r>
              <w:rPr>
                <w:rFonts w:cstheme="minorHAnsi"/>
                <w:sz w:val="18"/>
                <w:szCs w:val="18"/>
              </w:rPr>
              <w:t>Do not work in a very small, unventilated space with a cylinder</w:t>
            </w:r>
          </w:p>
          <w:p w14:paraId="3E648097" w14:textId="4E959ACF" w:rsidR="00451EBF" w:rsidRPr="009146ED" w:rsidRDefault="00451EBF" w:rsidP="00451EBF">
            <w:pPr>
              <w:pStyle w:val="ListParagraph"/>
              <w:numPr>
                <w:ilvl w:val="0"/>
                <w:numId w:val="3"/>
              </w:numPr>
              <w:autoSpaceDE w:val="0"/>
              <w:autoSpaceDN w:val="0"/>
              <w:adjustRightInd w:val="0"/>
              <w:rPr>
                <w:rFonts w:cstheme="minorHAnsi"/>
                <w:sz w:val="18"/>
                <w:szCs w:val="18"/>
              </w:rPr>
            </w:pPr>
            <w:r>
              <w:rPr>
                <w:rFonts w:cstheme="minorHAnsi"/>
                <w:sz w:val="18"/>
                <w:szCs w:val="18"/>
              </w:rPr>
              <w:t>Keep the cylinders away from flames and other high heat sources</w:t>
            </w:r>
          </w:p>
        </w:tc>
        <w:tc>
          <w:tcPr>
            <w:tcW w:w="623" w:type="dxa"/>
            <w:shd w:val="clear" w:color="auto" w:fill="FBE4D5" w:themeFill="accent2" w:themeFillTint="33"/>
          </w:tcPr>
          <w:p w14:paraId="30A60483" w14:textId="5C60E664" w:rsidR="00451EBF" w:rsidRDefault="00451EBF" w:rsidP="00451EBF">
            <w:pPr>
              <w:autoSpaceDE w:val="0"/>
              <w:autoSpaceDN w:val="0"/>
              <w:adjustRightInd w:val="0"/>
              <w:rPr>
                <w:rFonts w:cstheme="minorHAnsi"/>
              </w:rPr>
            </w:pPr>
            <w:r>
              <w:rPr>
                <w:rFonts w:cstheme="minorHAnsi"/>
              </w:rPr>
              <w:t>1</w:t>
            </w:r>
          </w:p>
        </w:tc>
        <w:tc>
          <w:tcPr>
            <w:tcW w:w="623" w:type="dxa"/>
            <w:shd w:val="clear" w:color="auto" w:fill="FBE4D5" w:themeFill="accent2" w:themeFillTint="33"/>
          </w:tcPr>
          <w:p w14:paraId="6C07DF64" w14:textId="6F65B10C" w:rsidR="00451EBF" w:rsidRDefault="00451EBF" w:rsidP="00451EBF">
            <w:pPr>
              <w:autoSpaceDE w:val="0"/>
              <w:autoSpaceDN w:val="0"/>
              <w:adjustRightInd w:val="0"/>
              <w:rPr>
                <w:rFonts w:cstheme="minorHAnsi"/>
              </w:rPr>
            </w:pPr>
            <w:r>
              <w:rPr>
                <w:rFonts w:cstheme="minorHAnsi"/>
              </w:rPr>
              <w:t>1</w:t>
            </w:r>
          </w:p>
        </w:tc>
        <w:tc>
          <w:tcPr>
            <w:tcW w:w="625" w:type="dxa"/>
            <w:shd w:val="clear" w:color="auto" w:fill="70AD47" w:themeFill="accent6"/>
          </w:tcPr>
          <w:p w14:paraId="0511FC50" w14:textId="38897AEE" w:rsidR="00451EBF"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1</w:t>
            </w:r>
          </w:p>
        </w:tc>
      </w:tr>
      <w:tr w:rsidR="00451EBF" w14:paraId="0C4CE403" w14:textId="77777777" w:rsidTr="00451EBF">
        <w:trPr>
          <w:trHeight w:val="1120"/>
        </w:trPr>
        <w:tc>
          <w:tcPr>
            <w:tcW w:w="1866" w:type="dxa"/>
          </w:tcPr>
          <w:p w14:paraId="1A3AB610" w14:textId="77777777" w:rsidR="00451EBF" w:rsidRDefault="00451EBF" w:rsidP="00451EBF">
            <w:pPr>
              <w:autoSpaceDE w:val="0"/>
              <w:autoSpaceDN w:val="0"/>
              <w:adjustRightInd w:val="0"/>
              <w:rPr>
                <w:rFonts w:cstheme="minorHAnsi"/>
              </w:rPr>
            </w:pPr>
            <w:r>
              <w:rPr>
                <w:rFonts w:cstheme="minorHAnsi"/>
              </w:rPr>
              <w:t>Setting up</w:t>
            </w:r>
          </w:p>
        </w:tc>
        <w:tc>
          <w:tcPr>
            <w:tcW w:w="2028" w:type="dxa"/>
            <w:shd w:val="clear" w:color="auto" w:fill="auto"/>
          </w:tcPr>
          <w:p w14:paraId="59675376" w14:textId="2A67F178" w:rsidR="00451EBF" w:rsidRDefault="00451EBF" w:rsidP="00451EBF">
            <w:pPr>
              <w:autoSpaceDE w:val="0"/>
              <w:autoSpaceDN w:val="0"/>
              <w:adjustRightInd w:val="0"/>
              <w:rPr>
                <w:rFonts w:cstheme="minorHAnsi"/>
              </w:rPr>
            </w:pPr>
            <w:r>
              <w:rPr>
                <w:rFonts w:cstheme="minorHAnsi"/>
              </w:rPr>
              <w:t>As above</w:t>
            </w:r>
          </w:p>
        </w:tc>
        <w:tc>
          <w:tcPr>
            <w:tcW w:w="2339" w:type="dxa"/>
          </w:tcPr>
          <w:p w14:paraId="6BF9B2ED" w14:textId="77777777" w:rsidR="00451EBF" w:rsidRDefault="00451EBF" w:rsidP="00451EBF">
            <w:pPr>
              <w:autoSpaceDE w:val="0"/>
              <w:autoSpaceDN w:val="0"/>
              <w:adjustRightInd w:val="0"/>
              <w:rPr>
                <w:rFonts w:cstheme="minorHAnsi"/>
              </w:rPr>
            </w:pPr>
            <w:r>
              <w:rPr>
                <w:rFonts w:cstheme="minorHAnsi"/>
              </w:rPr>
              <w:t>Slips, trips and falls</w:t>
            </w:r>
          </w:p>
        </w:tc>
        <w:tc>
          <w:tcPr>
            <w:tcW w:w="623" w:type="dxa"/>
            <w:shd w:val="clear" w:color="auto" w:fill="FBE4D5" w:themeFill="accent2" w:themeFillTint="33"/>
          </w:tcPr>
          <w:p w14:paraId="65521EDD" w14:textId="77777777" w:rsidR="00451EBF" w:rsidRPr="009146ED" w:rsidRDefault="00451EBF" w:rsidP="00451EBF">
            <w:pPr>
              <w:autoSpaceDE w:val="0"/>
              <w:autoSpaceDN w:val="0"/>
              <w:adjustRightInd w:val="0"/>
              <w:rPr>
                <w:rFonts w:cstheme="minorHAnsi"/>
              </w:rPr>
            </w:pPr>
            <w:r>
              <w:rPr>
                <w:rFonts w:cstheme="minorHAnsi"/>
              </w:rPr>
              <w:t>3</w:t>
            </w:r>
          </w:p>
        </w:tc>
        <w:tc>
          <w:tcPr>
            <w:tcW w:w="623" w:type="dxa"/>
            <w:shd w:val="clear" w:color="auto" w:fill="FBE4D5" w:themeFill="accent2" w:themeFillTint="33"/>
          </w:tcPr>
          <w:p w14:paraId="1A76EC5D" w14:textId="77777777" w:rsidR="00451EBF" w:rsidRPr="009146ED" w:rsidRDefault="00451EBF" w:rsidP="00451EBF">
            <w:pPr>
              <w:autoSpaceDE w:val="0"/>
              <w:autoSpaceDN w:val="0"/>
              <w:adjustRightInd w:val="0"/>
              <w:rPr>
                <w:rFonts w:cstheme="minorHAnsi"/>
              </w:rPr>
            </w:pPr>
            <w:r>
              <w:rPr>
                <w:rFonts w:cstheme="minorHAnsi"/>
              </w:rPr>
              <w:t>2</w:t>
            </w:r>
          </w:p>
        </w:tc>
        <w:tc>
          <w:tcPr>
            <w:tcW w:w="625" w:type="dxa"/>
            <w:shd w:val="clear" w:color="auto" w:fill="FF0000"/>
          </w:tcPr>
          <w:p w14:paraId="5F566AB9" w14:textId="77777777" w:rsidR="00451EBF" w:rsidRPr="00505F86"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6</w:t>
            </w:r>
          </w:p>
        </w:tc>
        <w:tc>
          <w:tcPr>
            <w:tcW w:w="5304" w:type="dxa"/>
            <w:shd w:val="clear" w:color="auto" w:fill="E2EFD9" w:themeFill="accent6" w:themeFillTint="33"/>
          </w:tcPr>
          <w:p w14:paraId="11492B3A" w14:textId="77777777" w:rsidR="00451EBF" w:rsidRPr="009146ED" w:rsidRDefault="00451EBF" w:rsidP="00451EBF">
            <w:pPr>
              <w:pStyle w:val="ListParagraph"/>
              <w:numPr>
                <w:ilvl w:val="0"/>
                <w:numId w:val="3"/>
              </w:numPr>
              <w:autoSpaceDE w:val="0"/>
              <w:autoSpaceDN w:val="0"/>
              <w:adjustRightInd w:val="0"/>
              <w:rPr>
                <w:rFonts w:cstheme="minorHAnsi"/>
                <w:sz w:val="18"/>
                <w:szCs w:val="18"/>
              </w:rPr>
            </w:pPr>
            <w:r w:rsidRPr="009146ED">
              <w:rPr>
                <w:rFonts w:cstheme="minorHAnsi"/>
                <w:sz w:val="18"/>
                <w:szCs w:val="18"/>
              </w:rPr>
              <w:t xml:space="preserve">Use correct manual handling techniques when moving </w:t>
            </w:r>
            <w:r>
              <w:rPr>
                <w:rFonts w:cstheme="minorHAnsi"/>
                <w:sz w:val="18"/>
                <w:szCs w:val="18"/>
              </w:rPr>
              <w:t>heavy gas cylinders,</w:t>
            </w:r>
            <w:r w:rsidRPr="009146ED">
              <w:rPr>
                <w:rFonts w:cstheme="minorHAnsi"/>
                <w:sz w:val="18"/>
                <w:szCs w:val="18"/>
              </w:rPr>
              <w:t xml:space="preserve"> etc.</w:t>
            </w:r>
          </w:p>
          <w:p w14:paraId="3F0C18C0" w14:textId="77777777" w:rsidR="00451EBF" w:rsidRPr="009146ED" w:rsidRDefault="00451EBF" w:rsidP="00451EBF">
            <w:pPr>
              <w:pStyle w:val="ListParagraph"/>
              <w:numPr>
                <w:ilvl w:val="0"/>
                <w:numId w:val="3"/>
              </w:numPr>
              <w:autoSpaceDE w:val="0"/>
              <w:autoSpaceDN w:val="0"/>
              <w:adjustRightInd w:val="0"/>
              <w:rPr>
                <w:rFonts w:cstheme="minorHAnsi"/>
                <w:sz w:val="18"/>
                <w:szCs w:val="18"/>
              </w:rPr>
            </w:pPr>
            <w:r w:rsidRPr="009146ED">
              <w:rPr>
                <w:rFonts w:cstheme="minorHAnsi"/>
                <w:sz w:val="18"/>
                <w:szCs w:val="18"/>
              </w:rPr>
              <w:t>Maintain a clear work area</w:t>
            </w:r>
          </w:p>
          <w:p w14:paraId="4E1E5EEE" w14:textId="77777777" w:rsidR="00451EBF" w:rsidRPr="00505F86" w:rsidRDefault="00451EBF" w:rsidP="00451EBF">
            <w:pPr>
              <w:pStyle w:val="ListParagraph"/>
              <w:numPr>
                <w:ilvl w:val="0"/>
                <w:numId w:val="3"/>
              </w:numPr>
              <w:autoSpaceDE w:val="0"/>
              <w:autoSpaceDN w:val="0"/>
              <w:adjustRightInd w:val="0"/>
              <w:rPr>
                <w:rFonts w:cstheme="minorHAnsi"/>
                <w:sz w:val="18"/>
                <w:szCs w:val="18"/>
              </w:rPr>
            </w:pPr>
            <w:r w:rsidRPr="009146ED">
              <w:rPr>
                <w:rFonts w:cstheme="minorHAnsi"/>
                <w:sz w:val="18"/>
                <w:szCs w:val="18"/>
              </w:rPr>
              <w:t xml:space="preserve">Ensure the area is kept tidy &amp; </w:t>
            </w:r>
            <w:r>
              <w:rPr>
                <w:rFonts w:cstheme="minorHAnsi"/>
                <w:sz w:val="18"/>
                <w:szCs w:val="18"/>
              </w:rPr>
              <w:t>wires for glue guns and laptops do not present a trip hazard</w:t>
            </w:r>
          </w:p>
        </w:tc>
        <w:tc>
          <w:tcPr>
            <w:tcW w:w="623" w:type="dxa"/>
            <w:shd w:val="clear" w:color="auto" w:fill="FBE4D5" w:themeFill="accent2" w:themeFillTint="33"/>
          </w:tcPr>
          <w:p w14:paraId="7E2CC0DA" w14:textId="77777777" w:rsidR="00451EBF" w:rsidRDefault="00451EBF" w:rsidP="00451EBF">
            <w:pPr>
              <w:autoSpaceDE w:val="0"/>
              <w:autoSpaceDN w:val="0"/>
              <w:adjustRightInd w:val="0"/>
              <w:rPr>
                <w:rFonts w:cstheme="minorHAnsi"/>
              </w:rPr>
            </w:pPr>
            <w:r>
              <w:rPr>
                <w:rFonts w:cstheme="minorHAnsi"/>
              </w:rPr>
              <w:t>1</w:t>
            </w:r>
          </w:p>
        </w:tc>
        <w:tc>
          <w:tcPr>
            <w:tcW w:w="623" w:type="dxa"/>
            <w:shd w:val="clear" w:color="auto" w:fill="FBE4D5" w:themeFill="accent2" w:themeFillTint="33"/>
          </w:tcPr>
          <w:p w14:paraId="15EF56B8" w14:textId="77777777" w:rsidR="00451EBF" w:rsidRDefault="00451EBF" w:rsidP="00451EBF">
            <w:pPr>
              <w:autoSpaceDE w:val="0"/>
              <w:autoSpaceDN w:val="0"/>
              <w:adjustRightInd w:val="0"/>
              <w:rPr>
                <w:rFonts w:cstheme="minorHAnsi"/>
              </w:rPr>
            </w:pPr>
            <w:r>
              <w:rPr>
                <w:rFonts w:cstheme="minorHAnsi"/>
              </w:rPr>
              <w:t>2</w:t>
            </w:r>
          </w:p>
        </w:tc>
        <w:tc>
          <w:tcPr>
            <w:tcW w:w="625" w:type="dxa"/>
            <w:shd w:val="clear" w:color="auto" w:fill="70AD47" w:themeFill="accent6"/>
          </w:tcPr>
          <w:p w14:paraId="19DE9D80" w14:textId="77777777" w:rsidR="00451EBF" w:rsidRPr="00505F86"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2</w:t>
            </w:r>
          </w:p>
        </w:tc>
      </w:tr>
      <w:tr w:rsidR="00451EBF" w14:paraId="21896AD0" w14:textId="77777777" w:rsidTr="00451EBF">
        <w:trPr>
          <w:trHeight w:val="1795"/>
        </w:trPr>
        <w:tc>
          <w:tcPr>
            <w:tcW w:w="1866" w:type="dxa"/>
          </w:tcPr>
          <w:p w14:paraId="7CD3F684" w14:textId="77777777" w:rsidR="00451EBF" w:rsidRDefault="00451EBF" w:rsidP="00451EBF">
            <w:pPr>
              <w:autoSpaceDE w:val="0"/>
              <w:autoSpaceDN w:val="0"/>
              <w:adjustRightInd w:val="0"/>
              <w:rPr>
                <w:rFonts w:cstheme="minorHAnsi"/>
              </w:rPr>
            </w:pPr>
            <w:r>
              <w:rPr>
                <w:rFonts w:cstheme="minorHAnsi"/>
              </w:rPr>
              <w:t>Prior to activity</w:t>
            </w:r>
          </w:p>
        </w:tc>
        <w:tc>
          <w:tcPr>
            <w:tcW w:w="2028" w:type="dxa"/>
            <w:shd w:val="clear" w:color="auto" w:fill="auto"/>
          </w:tcPr>
          <w:p w14:paraId="6AA52554" w14:textId="1AA4B72B" w:rsidR="00451EBF" w:rsidRDefault="00451EBF" w:rsidP="00451EBF">
            <w:pPr>
              <w:autoSpaceDE w:val="0"/>
              <w:autoSpaceDN w:val="0"/>
              <w:adjustRightInd w:val="0"/>
              <w:rPr>
                <w:rFonts w:cstheme="minorHAnsi"/>
              </w:rPr>
            </w:pPr>
            <w:r>
              <w:rPr>
                <w:rFonts w:cstheme="minorHAnsi"/>
              </w:rPr>
              <w:t>Staff and students</w:t>
            </w:r>
          </w:p>
        </w:tc>
        <w:tc>
          <w:tcPr>
            <w:tcW w:w="2339" w:type="dxa"/>
          </w:tcPr>
          <w:p w14:paraId="5C95FFA0" w14:textId="77777777" w:rsidR="00451EBF" w:rsidRDefault="00451EBF" w:rsidP="00451EBF">
            <w:pPr>
              <w:autoSpaceDE w:val="0"/>
              <w:autoSpaceDN w:val="0"/>
              <w:adjustRightInd w:val="0"/>
              <w:rPr>
                <w:rFonts w:cstheme="minorHAnsi"/>
              </w:rPr>
            </w:pPr>
            <w:r>
              <w:rPr>
                <w:rFonts w:cstheme="minorHAnsi"/>
              </w:rPr>
              <w:t>Cuts from moving parts or tools.</w:t>
            </w:r>
          </w:p>
        </w:tc>
        <w:tc>
          <w:tcPr>
            <w:tcW w:w="623" w:type="dxa"/>
            <w:shd w:val="clear" w:color="auto" w:fill="FBE4D5" w:themeFill="accent2" w:themeFillTint="33"/>
          </w:tcPr>
          <w:p w14:paraId="017C7D7D" w14:textId="77777777" w:rsidR="00451EBF" w:rsidRPr="009146ED" w:rsidRDefault="00451EBF" w:rsidP="00451EBF">
            <w:pPr>
              <w:autoSpaceDE w:val="0"/>
              <w:autoSpaceDN w:val="0"/>
              <w:adjustRightInd w:val="0"/>
              <w:rPr>
                <w:rFonts w:cstheme="minorHAnsi"/>
              </w:rPr>
            </w:pPr>
            <w:r>
              <w:rPr>
                <w:rFonts w:cstheme="minorHAnsi"/>
              </w:rPr>
              <w:t>2</w:t>
            </w:r>
          </w:p>
        </w:tc>
        <w:tc>
          <w:tcPr>
            <w:tcW w:w="623" w:type="dxa"/>
            <w:shd w:val="clear" w:color="auto" w:fill="FBE4D5" w:themeFill="accent2" w:themeFillTint="33"/>
          </w:tcPr>
          <w:p w14:paraId="1FE6C827" w14:textId="77777777" w:rsidR="00451EBF" w:rsidRPr="009146ED" w:rsidRDefault="00451EBF" w:rsidP="00451EBF">
            <w:pPr>
              <w:autoSpaceDE w:val="0"/>
              <w:autoSpaceDN w:val="0"/>
              <w:adjustRightInd w:val="0"/>
              <w:rPr>
                <w:rFonts w:cstheme="minorHAnsi"/>
              </w:rPr>
            </w:pPr>
            <w:r>
              <w:rPr>
                <w:rFonts w:cstheme="minorHAnsi"/>
              </w:rPr>
              <w:t>2</w:t>
            </w:r>
          </w:p>
        </w:tc>
        <w:tc>
          <w:tcPr>
            <w:tcW w:w="625" w:type="dxa"/>
            <w:shd w:val="clear" w:color="auto" w:fill="FF0000"/>
          </w:tcPr>
          <w:p w14:paraId="73994C4B" w14:textId="77777777" w:rsidR="00451EBF" w:rsidRPr="00505F86"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4</w:t>
            </w:r>
          </w:p>
        </w:tc>
        <w:tc>
          <w:tcPr>
            <w:tcW w:w="5304" w:type="dxa"/>
            <w:shd w:val="clear" w:color="auto" w:fill="E2EFD9" w:themeFill="accent6" w:themeFillTint="33"/>
          </w:tcPr>
          <w:p w14:paraId="5B10D391" w14:textId="77777777" w:rsidR="00451EBF" w:rsidRDefault="00451EBF" w:rsidP="00451EBF">
            <w:pPr>
              <w:pStyle w:val="ListParagraph"/>
              <w:numPr>
                <w:ilvl w:val="0"/>
                <w:numId w:val="4"/>
              </w:numPr>
              <w:autoSpaceDE w:val="0"/>
              <w:autoSpaceDN w:val="0"/>
              <w:adjustRightInd w:val="0"/>
              <w:rPr>
                <w:rFonts w:cstheme="minorHAnsi"/>
                <w:sz w:val="18"/>
                <w:szCs w:val="18"/>
              </w:rPr>
            </w:pPr>
            <w:r>
              <w:rPr>
                <w:rFonts w:cstheme="minorHAnsi"/>
                <w:sz w:val="18"/>
                <w:szCs w:val="18"/>
              </w:rPr>
              <w:t>Ensure that the aircraft have a reasonable sized space in which to operate that is not open to the air or draughty.</w:t>
            </w:r>
          </w:p>
          <w:p w14:paraId="2F913CB7" w14:textId="4E5F1646" w:rsidR="00451EBF" w:rsidRDefault="00451EBF" w:rsidP="00451EBF">
            <w:pPr>
              <w:pStyle w:val="ListParagraph"/>
              <w:numPr>
                <w:ilvl w:val="0"/>
                <w:numId w:val="4"/>
              </w:numPr>
              <w:autoSpaceDE w:val="0"/>
              <w:autoSpaceDN w:val="0"/>
              <w:adjustRightInd w:val="0"/>
              <w:rPr>
                <w:rFonts w:cstheme="minorHAnsi"/>
                <w:sz w:val="18"/>
                <w:szCs w:val="18"/>
              </w:rPr>
            </w:pPr>
            <w:r>
              <w:rPr>
                <w:rFonts w:cstheme="minorHAnsi"/>
                <w:sz w:val="18"/>
                <w:szCs w:val="18"/>
              </w:rPr>
              <w:t>Provide resources that allow for the safe cutting of wires</w:t>
            </w:r>
          </w:p>
          <w:p w14:paraId="71D3068E" w14:textId="77777777" w:rsidR="00451EBF" w:rsidRDefault="00451EBF" w:rsidP="00451EBF">
            <w:pPr>
              <w:pStyle w:val="ListParagraph"/>
              <w:numPr>
                <w:ilvl w:val="0"/>
                <w:numId w:val="4"/>
              </w:numPr>
              <w:autoSpaceDE w:val="0"/>
              <w:autoSpaceDN w:val="0"/>
              <w:adjustRightInd w:val="0"/>
              <w:rPr>
                <w:rFonts w:cstheme="minorHAnsi"/>
                <w:sz w:val="18"/>
                <w:szCs w:val="18"/>
              </w:rPr>
            </w:pPr>
            <w:r>
              <w:rPr>
                <w:rFonts w:cstheme="minorHAnsi"/>
                <w:sz w:val="18"/>
                <w:szCs w:val="18"/>
              </w:rPr>
              <w:t>Provide plastics or foam materials to make propeller shields</w:t>
            </w:r>
          </w:p>
          <w:p w14:paraId="47AF59C4" w14:textId="189A84D3" w:rsidR="00451EBF" w:rsidRPr="000F64BA" w:rsidRDefault="00451EBF" w:rsidP="00451EBF">
            <w:pPr>
              <w:pStyle w:val="ListParagraph"/>
              <w:numPr>
                <w:ilvl w:val="0"/>
                <w:numId w:val="4"/>
              </w:numPr>
              <w:autoSpaceDE w:val="0"/>
              <w:autoSpaceDN w:val="0"/>
              <w:adjustRightInd w:val="0"/>
              <w:rPr>
                <w:rFonts w:cstheme="minorHAnsi"/>
                <w:sz w:val="18"/>
                <w:szCs w:val="18"/>
              </w:rPr>
            </w:pPr>
            <w:r>
              <w:rPr>
                <w:rFonts w:cstheme="minorHAnsi"/>
                <w:sz w:val="18"/>
                <w:szCs w:val="18"/>
              </w:rPr>
              <w:t xml:space="preserve">Make </w:t>
            </w:r>
            <w:r w:rsidR="00910E6D">
              <w:rPr>
                <w:rFonts w:cstheme="minorHAnsi"/>
                <w:sz w:val="18"/>
                <w:szCs w:val="18"/>
              </w:rPr>
              <w:t>students</w:t>
            </w:r>
            <w:r>
              <w:rPr>
                <w:rFonts w:cstheme="minorHAnsi"/>
                <w:sz w:val="18"/>
                <w:szCs w:val="18"/>
              </w:rPr>
              <w:t xml:space="preserve"> aware of risks from fast moving model propeller blades.  Ensure they know how to make a shield or cowling for a propeller.</w:t>
            </w:r>
          </w:p>
        </w:tc>
        <w:tc>
          <w:tcPr>
            <w:tcW w:w="623" w:type="dxa"/>
            <w:shd w:val="clear" w:color="auto" w:fill="FBE4D5" w:themeFill="accent2" w:themeFillTint="33"/>
          </w:tcPr>
          <w:p w14:paraId="2D138880" w14:textId="77777777" w:rsidR="00451EBF" w:rsidRDefault="00451EBF" w:rsidP="00451EBF">
            <w:pPr>
              <w:autoSpaceDE w:val="0"/>
              <w:autoSpaceDN w:val="0"/>
              <w:adjustRightInd w:val="0"/>
              <w:rPr>
                <w:rFonts w:cstheme="minorHAnsi"/>
              </w:rPr>
            </w:pPr>
            <w:r>
              <w:rPr>
                <w:rFonts w:cstheme="minorHAnsi"/>
              </w:rPr>
              <w:t>2</w:t>
            </w:r>
          </w:p>
        </w:tc>
        <w:tc>
          <w:tcPr>
            <w:tcW w:w="623" w:type="dxa"/>
            <w:shd w:val="clear" w:color="auto" w:fill="FBE4D5" w:themeFill="accent2" w:themeFillTint="33"/>
          </w:tcPr>
          <w:p w14:paraId="6168573D" w14:textId="77777777" w:rsidR="00451EBF" w:rsidRDefault="00451EBF" w:rsidP="00451EBF">
            <w:pPr>
              <w:autoSpaceDE w:val="0"/>
              <w:autoSpaceDN w:val="0"/>
              <w:adjustRightInd w:val="0"/>
              <w:rPr>
                <w:rFonts w:cstheme="minorHAnsi"/>
              </w:rPr>
            </w:pPr>
            <w:r>
              <w:rPr>
                <w:rFonts w:cstheme="minorHAnsi"/>
              </w:rPr>
              <w:t>1</w:t>
            </w:r>
          </w:p>
        </w:tc>
        <w:tc>
          <w:tcPr>
            <w:tcW w:w="625" w:type="dxa"/>
            <w:shd w:val="clear" w:color="auto" w:fill="70AD47" w:themeFill="accent6"/>
          </w:tcPr>
          <w:p w14:paraId="7AE79699" w14:textId="77777777" w:rsidR="00451EBF" w:rsidRPr="00505F86"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2</w:t>
            </w:r>
          </w:p>
        </w:tc>
      </w:tr>
      <w:tr w:rsidR="00451EBF" w14:paraId="5E65EFA6" w14:textId="77777777" w:rsidTr="00451EBF">
        <w:trPr>
          <w:trHeight w:val="1795"/>
        </w:trPr>
        <w:tc>
          <w:tcPr>
            <w:tcW w:w="1866" w:type="dxa"/>
          </w:tcPr>
          <w:p w14:paraId="2FD37186" w14:textId="77777777" w:rsidR="00451EBF" w:rsidRDefault="00451EBF" w:rsidP="00451EBF">
            <w:pPr>
              <w:autoSpaceDE w:val="0"/>
              <w:autoSpaceDN w:val="0"/>
              <w:adjustRightInd w:val="0"/>
              <w:rPr>
                <w:rFonts w:cstheme="minorHAnsi"/>
              </w:rPr>
            </w:pPr>
            <w:r>
              <w:rPr>
                <w:rFonts w:cstheme="minorHAnsi"/>
              </w:rPr>
              <w:t>Assembling and operating craft</w:t>
            </w:r>
          </w:p>
        </w:tc>
        <w:tc>
          <w:tcPr>
            <w:tcW w:w="2028" w:type="dxa"/>
            <w:shd w:val="clear" w:color="auto" w:fill="auto"/>
          </w:tcPr>
          <w:p w14:paraId="5DB6F1DA" w14:textId="77777777" w:rsidR="00451EBF" w:rsidRDefault="00451EBF" w:rsidP="00451EBF">
            <w:pPr>
              <w:autoSpaceDE w:val="0"/>
              <w:autoSpaceDN w:val="0"/>
              <w:adjustRightInd w:val="0"/>
              <w:rPr>
                <w:rFonts w:cstheme="minorHAnsi"/>
              </w:rPr>
            </w:pPr>
            <w:r>
              <w:rPr>
                <w:rFonts w:cstheme="minorHAnsi"/>
              </w:rPr>
              <w:t>As above</w:t>
            </w:r>
          </w:p>
        </w:tc>
        <w:tc>
          <w:tcPr>
            <w:tcW w:w="2339" w:type="dxa"/>
          </w:tcPr>
          <w:p w14:paraId="4E691FAC" w14:textId="77777777" w:rsidR="00451EBF" w:rsidRDefault="00451EBF" w:rsidP="00451EBF">
            <w:pPr>
              <w:autoSpaceDE w:val="0"/>
              <w:autoSpaceDN w:val="0"/>
              <w:adjustRightInd w:val="0"/>
              <w:rPr>
                <w:rFonts w:cstheme="minorHAnsi"/>
              </w:rPr>
            </w:pPr>
            <w:r>
              <w:rPr>
                <w:rFonts w:cstheme="minorHAnsi"/>
              </w:rPr>
              <w:t>Hot glue burns &amp; flying object impact injuries. Falls</w:t>
            </w:r>
          </w:p>
        </w:tc>
        <w:tc>
          <w:tcPr>
            <w:tcW w:w="623" w:type="dxa"/>
            <w:shd w:val="clear" w:color="auto" w:fill="FBE4D5" w:themeFill="accent2" w:themeFillTint="33"/>
          </w:tcPr>
          <w:p w14:paraId="31F0DD68" w14:textId="77777777" w:rsidR="00451EBF" w:rsidRPr="009146ED" w:rsidRDefault="00451EBF" w:rsidP="00451EBF">
            <w:pPr>
              <w:autoSpaceDE w:val="0"/>
              <w:autoSpaceDN w:val="0"/>
              <w:adjustRightInd w:val="0"/>
              <w:rPr>
                <w:rFonts w:cstheme="minorHAnsi"/>
              </w:rPr>
            </w:pPr>
            <w:r>
              <w:rPr>
                <w:rFonts w:cstheme="minorHAnsi"/>
              </w:rPr>
              <w:t>2</w:t>
            </w:r>
          </w:p>
        </w:tc>
        <w:tc>
          <w:tcPr>
            <w:tcW w:w="623" w:type="dxa"/>
            <w:shd w:val="clear" w:color="auto" w:fill="FBE4D5" w:themeFill="accent2" w:themeFillTint="33"/>
          </w:tcPr>
          <w:p w14:paraId="006AA30C" w14:textId="77777777" w:rsidR="00451EBF" w:rsidRPr="009146ED" w:rsidRDefault="00451EBF" w:rsidP="00451EBF">
            <w:pPr>
              <w:autoSpaceDE w:val="0"/>
              <w:autoSpaceDN w:val="0"/>
              <w:adjustRightInd w:val="0"/>
              <w:rPr>
                <w:rFonts w:cstheme="minorHAnsi"/>
              </w:rPr>
            </w:pPr>
            <w:r>
              <w:rPr>
                <w:rFonts w:cstheme="minorHAnsi"/>
              </w:rPr>
              <w:t>3</w:t>
            </w:r>
          </w:p>
        </w:tc>
        <w:tc>
          <w:tcPr>
            <w:tcW w:w="625" w:type="dxa"/>
            <w:shd w:val="clear" w:color="auto" w:fill="FF0000"/>
          </w:tcPr>
          <w:p w14:paraId="15FDA2AF" w14:textId="77777777" w:rsidR="00451EBF" w:rsidRPr="00505F86"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6</w:t>
            </w:r>
          </w:p>
        </w:tc>
        <w:tc>
          <w:tcPr>
            <w:tcW w:w="5304" w:type="dxa"/>
            <w:shd w:val="clear" w:color="auto" w:fill="E2EFD9" w:themeFill="accent6" w:themeFillTint="33"/>
          </w:tcPr>
          <w:p w14:paraId="3E56C434" w14:textId="77777777" w:rsidR="00451EBF" w:rsidRDefault="00451EBF" w:rsidP="00451EBF">
            <w:pPr>
              <w:pStyle w:val="ListParagraph"/>
              <w:numPr>
                <w:ilvl w:val="0"/>
                <w:numId w:val="5"/>
              </w:numPr>
              <w:autoSpaceDE w:val="0"/>
              <w:autoSpaceDN w:val="0"/>
              <w:adjustRightInd w:val="0"/>
              <w:rPr>
                <w:rFonts w:cstheme="minorHAnsi"/>
                <w:sz w:val="18"/>
                <w:szCs w:val="18"/>
              </w:rPr>
            </w:pPr>
            <w:r>
              <w:rPr>
                <w:rFonts w:cstheme="minorHAnsi"/>
                <w:sz w:val="18"/>
                <w:szCs w:val="18"/>
              </w:rPr>
              <w:t>Mark and use hot glue gun areas with PAT tested glue guns.</w:t>
            </w:r>
          </w:p>
          <w:p w14:paraId="21B1DFD0" w14:textId="77777777" w:rsidR="00451EBF" w:rsidRPr="00505F86" w:rsidRDefault="00451EBF" w:rsidP="00451EBF">
            <w:pPr>
              <w:pStyle w:val="ListParagraph"/>
              <w:numPr>
                <w:ilvl w:val="0"/>
                <w:numId w:val="5"/>
              </w:numPr>
              <w:autoSpaceDE w:val="0"/>
              <w:autoSpaceDN w:val="0"/>
              <w:adjustRightInd w:val="0"/>
              <w:rPr>
                <w:rFonts w:cstheme="minorHAnsi"/>
                <w:sz w:val="18"/>
                <w:szCs w:val="18"/>
              </w:rPr>
            </w:pPr>
            <w:r w:rsidRPr="00505F86">
              <w:rPr>
                <w:rFonts w:cstheme="minorHAnsi"/>
                <w:sz w:val="18"/>
                <w:szCs w:val="18"/>
              </w:rPr>
              <w:t>Ensure spectators stand clear of the f</w:t>
            </w:r>
            <w:r>
              <w:rPr>
                <w:rFonts w:cstheme="minorHAnsi"/>
                <w:sz w:val="18"/>
                <w:szCs w:val="18"/>
              </w:rPr>
              <w:t>lying</w:t>
            </w:r>
            <w:r w:rsidRPr="00505F86">
              <w:rPr>
                <w:rFonts w:cstheme="minorHAnsi"/>
                <w:sz w:val="18"/>
                <w:szCs w:val="18"/>
              </w:rPr>
              <w:t xml:space="preserve"> area to avoid potential flying objects</w:t>
            </w:r>
          </w:p>
          <w:p w14:paraId="3FE3F359" w14:textId="77777777" w:rsidR="00451EBF" w:rsidRPr="000F64BA" w:rsidRDefault="00451EBF" w:rsidP="00451EBF">
            <w:pPr>
              <w:pStyle w:val="ListParagraph"/>
              <w:numPr>
                <w:ilvl w:val="0"/>
                <w:numId w:val="5"/>
              </w:numPr>
              <w:autoSpaceDE w:val="0"/>
              <w:autoSpaceDN w:val="0"/>
              <w:adjustRightInd w:val="0"/>
              <w:rPr>
                <w:rFonts w:cstheme="minorHAnsi"/>
                <w:sz w:val="18"/>
                <w:szCs w:val="18"/>
              </w:rPr>
            </w:pPr>
            <w:r>
              <w:rPr>
                <w:rFonts w:cstheme="minorHAnsi"/>
                <w:sz w:val="18"/>
                <w:szCs w:val="18"/>
              </w:rPr>
              <w:t>Do not use ladders or climb on structures to recover lost aircraft without help or supervision.</w:t>
            </w:r>
          </w:p>
          <w:p w14:paraId="26FB6D6F" w14:textId="77777777" w:rsidR="00451EBF" w:rsidRPr="00505F86" w:rsidRDefault="00451EBF" w:rsidP="00451EBF">
            <w:pPr>
              <w:pStyle w:val="ListParagraph"/>
              <w:numPr>
                <w:ilvl w:val="0"/>
                <w:numId w:val="5"/>
              </w:numPr>
              <w:autoSpaceDE w:val="0"/>
              <w:autoSpaceDN w:val="0"/>
              <w:adjustRightInd w:val="0"/>
              <w:rPr>
                <w:rFonts w:cstheme="minorHAnsi"/>
                <w:sz w:val="18"/>
                <w:szCs w:val="18"/>
              </w:rPr>
            </w:pPr>
            <w:r w:rsidRPr="00505F86">
              <w:rPr>
                <w:rFonts w:cstheme="minorHAnsi"/>
                <w:sz w:val="18"/>
                <w:szCs w:val="18"/>
              </w:rPr>
              <w:t>Tidy area before observers can use the area for normal activity</w:t>
            </w:r>
          </w:p>
        </w:tc>
        <w:tc>
          <w:tcPr>
            <w:tcW w:w="623" w:type="dxa"/>
            <w:shd w:val="clear" w:color="auto" w:fill="FBE4D5" w:themeFill="accent2" w:themeFillTint="33"/>
          </w:tcPr>
          <w:p w14:paraId="16A1F579" w14:textId="77777777" w:rsidR="00451EBF" w:rsidRDefault="00451EBF" w:rsidP="00451EBF">
            <w:pPr>
              <w:autoSpaceDE w:val="0"/>
              <w:autoSpaceDN w:val="0"/>
              <w:adjustRightInd w:val="0"/>
              <w:rPr>
                <w:rFonts w:cstheme="minorHAnsi"/>
              </w:rPr>
            </w:pPr>
            <w:r>
              <w:rPr>
                <w:rFonts w:cstheme="minorHAnsi"/>
              </w:rPr>
              <w:t>1</w:t>
            </w:r>
          </w:p>
        </w:tc>
        <w:tc>
          <w:tcPr>
            <w:tcW w:w="623" w:type="dxa"/>
            <w:shd w:val="clear" w:color="auto" w:fill="FBE4D5" w:themeFill="accent2" w:themeFillTint="33"/>
          </w:tcPr>
          <w:p w14:paraId="5E52D4A2" w14:textId="77777777" w:rsidR="00451EBF" w:rsidRDefault="00451EBF" w:rsidP="00451EBF">
            <w:pPr>
              <w:autoSpaceDE w:val="0"/>
              <w:autoSpaceDN w:val="0"/>
              <w:adjustRightInd w:val="0"/>
              <w:rPr>
                <w:rFonts w:cstheme="minorHAnsi"/>
              </w:rPr>
            </w:pPr>
            <w:r>
              <w:rPr>
                <w:rFonts w:cstheme="minorHAnsi"/>
              </w:rPr>
              <w:t>1</w:t>
            </w:r>
          </w:p>
        </w:tc>
        <w:tc>
          <w:tcPr>
            <w:tcW w:w="625" w:type="dxa"/>
            <w:shd w:val="clear" w:color="auto" w:fill="70AD47" w:themeFill="accent6"/>
          </w:tcPr>
          <w:p w14:paraId="2AB4351A" w14:textId="77777777" w:rsidR="00451EBF" w:rsidRPr="00505F86" w:rsidRDefault="00451EBF" w:rsidP="00451EBF">
            <w:pPr>
              <w:autoSpaceDE w:val="0"/>
              <w:autoSpaceDN w:val="0"/>
              <w:adjustRightInd w:val="0"/>
              <w:rPr>
                <w:rFonts w:cstheme="minorHAnsi"/>
                <w:b/>
                <w:color w:val="FFFFFF" w:themeColor="background1"/>
                <w:u w:val="single"/>
              </w:rPr>
            </w:pPr>
            <w:r>
              <w:rPr>
                <w:rFonts w:cstheme="minorHAnsi"/>
                <w:b/>
                <w:color w:val="FFFFFF" w:themeColor="background1"/>
                <w:u w:val="single"/>
              </w:rPr>
              <w:t>2</w:t>
            </w:r>
          </w:p>
        </w:tc>
      </w:tr>
    </w:tbl>
    <w:p w14:paraId="2A61B803" w14:textId="49959214" w:rsidR="00451EBF" w:rsidRPr="00505F86" w:rsidRDefault="00451EBF" w:rsidP="00451EBF">
      <w:pPr>
        <w:autoSpaceDE w:val="0"/>
        <w:autoSpaceDN w:val="0"/>
        <w:adjustRightInd w:val="0"/>
        <w:spacing w:line="240" w:lineRule="auto"/>
        <w:rPr>
          <w:rFonts w:ascii="SegoePro" w:hAnsi="SegoePro" w:cs="SegoePro"/>
          <w:sz w:val="16"/>
          <w:szCs w:val="20"/>
        </w:rPr>
      </w:pPr>
      <w:r>
        <w:rPr>
          <w:rFonts w:ascii="SegoePro" w:hAnsi="SegoePro" w:cs="SegoePro"/>
          <w:sz w:val="16"/>
          <w:szCs w:val="20"/>
        </w:rPr>
        <w:br/>
      </w:r>
      <w:r w:rsidRPr="00505F86">
        <w:rPr>
          <w:rFonts w:ascii="SegoePro" w:hAnsi="SegoePro" w:cs="SegoePro"/>
          <w:sz w:val="16"/>
          <w:szCs w:val="20"/>
        </w:rPr>
        <w:t>* Numbers used are for illustrative purposes only.</w:t>
      </w:r>
      <w:r>
        <w:rPr>
          <w:rFonts w:ascii="SegoePro" w:hAnsi="SegoePro" w:cs="SegoePro"/>
          <w:sz w:val="16"/>
          <w:szCs w:val="20"/>
        </w:rPr>
        <w:t xml:space="preserve">     </w:t>
      </w:r>
      <w:r w:rsidRPr="00505F86">
        <w:rPr>
          <w:rFonts w:ascii="SegoePro" w:hAnsi="SegoePro" w:cs="SegoePro"/>
          <w:sz w:val="16"/>
          <w:szCs w:val="20"/>
        </w:rPr>
        <w:t xml:space="preserve">** Residual risk is the level of risk that remains after suitable and </w:t>
      </w:r>
      <w:proofErr w:type="gramStart"/>
      <w:r w:rsidRPr="00505F86">
        <w:rPr>
          <w:rFonts w:ascii="SegoePro" w:hAnsi="SegoePro" w:cs="SegoePro"/>
          <w:sz w:val="16"/>
          <w:szCs w:val="20"/>
        </w:rPr>
        <w:t>sufficient</w:t>
      </w:r>
      <w:proofErr w:type="gramEnd"/>
      <w:r w:rsidRPr="00505F86">
        <w:rPr>
          <w:rFonts w:ascii="SegoePro" w:hAnsi="SegoePro" w:cs="SegoePro"/>
          <w:sz w:val="16"/>
          <w:szCs w:val="20"/>
        </w:rPr>
        <w:t xml:space="preserve"> control measures are introduced.</w:t>
      </w:r>
    </w:p>
    <w:p w14:paraId="59F2BD16" w14:textId="57E6DD33" w:rsidR="00451EBF" w:rsidRDefault="00451EBF" w:rsidP="00451EBF">
      <w:pPr>
        <w:autoSpaceDE w:val="0"/>
        <w:autoSpaceDN w:val="0"/>
        <w:adjustRightInd w:val="0"/>
        <w:spacing w:line="240" w:lineRule="auto"/>
        <w:rPr>
          <w:rFonts w:ascii="SegoePro" w:hAnsi="SegoePro" w:cs="SegoePro"/>
          <w:sz w:val="16"/>
          <w:szCs w:val="20"/>
        </w:rPr>
      </w:pPr>
      <w:r w:rsidRPr="00505F86">
        <w:rPr>
          <w:rFonts w:ascii="SegoePro-Bold" w:hAnsi="SegoePro-Bold" w:cs="SegoePro-Bold"/>
          <w:b/>
          <w:bCs/>
          <w:sz w:val="16"/>
          <w:szCs w:val="20"/>
        </w:rPr>
        <w:t xml:space="preserve">LIKELIHOOD (L) </w:t>
      </w:r>
      <w:r w:rsidRPr="00505F86">
        <w:rPr>
          <w:rFonts w:ascii="SegoePro" w:hAnsi="SegoePro" w:cs="SegoePro"/>
          <w:sz w:val="16"/>
          <w:szCs w:val="20"/>
        </w:rPr>
        <w:t>= Frequent (5)</w:t>
      </w:r>
      <w:r>
        <w:rPr>
          <w:rFonts w:ascii="SegoePro" w:hAnsi="SegoePro" w:cs="SegoePro"/>
          <w:sz w:val="16"/>
          <w:szCs w:val="20"/>
        </w:rPr>
        <w:t>,</w:t>
      </w:r>
      <w:r w:rsidRPr="00505F86">
        <w:rPr>
          <w:rFonts w:ascii="SegoePro" w:hAnsi="SegoePro" w:cs="SegoePro"/>
          <w:sz w:val="16"/>
          <w:szCs w:val="20"/>
        </w:rPr>
        <w:t xml:space="preserve"> Probable (4)</w:t>
      </w:r>
      <w:r>
        <w:rPr>
          <w:rFonts w:ascii="SegoePro" w:hAnsi="SegoePro" w:cs="SegoePro"/>
          <w:sz w:val="16"/>
          <w:szCs w:val="20"/>
        </w:rPr>
        <w:t xml:space="preserve">, </w:t>
      </w:r>
      <w:r w:rsidRPr="00505F86">
        <w:rPr>
          <w:rFonts w:ascii="SegoePro" w:hAnsi="SegoePro" w:cs="SegoePro"/>
          <w:sz w:val="16"/>
          <w:szCs w:val="20"/>
        </w:rPr>
        <w:t>Occasional (3)</w:t>
      </w:r>
      <w:r>
        <w:rPr>
          <w:rFonts w:ascii="SegoePro" w:hAnsi="SegoePro" w:cs="SegoePro"/>
          <w:sz w:val="16"/>
          <w:szCs w:val="20"/>
        </w:rPr>
        <w:t xml:space="preserve">, </w:t>
      </w:r>
      <w:r w:rsidRPr="00505F86">
        <w:rPr>
          <w:rFonts w:ascii="SegoePro" w:hAnsi="SegoePro" w:cs="SegoePro"/>
          <w:sz w:val="16"/>
          <w:szCs w:val="20"/>
        </w:rPr>
        <w:t>Improbable (2)</w:t>
      </w:r>
      <w:r>
        <w:rPr>
          <w:rFonts w:ascii="SegoePro" w:hAnsi="SegoePro" w:cs="SegoePro"/>
          <w:sz w:val="16"/>
          <w:szCs w:val="20"/>
        </w:rPr>
        <w:t xml:space="preserve">, </w:t>
      </w:r>
      <w:r w:rsidRPr="00505F86">
        <w:rPr>
          <w:rFonts w:ascii="SegoePro" w:hAnsi="SegoePro" w:cs="SegoePro"/>
          <w:sz w:val="16"/>
          <w:szCs w:val="20"/>
        </w:rPr>
        <w:t>Remote (1)</w:t>
      </w:r>
      <w:r>
        <w:rPr>
          <w:rFonts w:ascii="SegoePro" w:hAnsi="SegoePro" w:cs="SegoePro"/>
          <w:sz w:val="16"/>
          <w:szCs w:val="20"/>
        </w:rPr>
        <w:t xml:space="preserve"> </w:t>
      </w:r>
      <w:r w:rsidRPr="00505F86">
        <w:rPr>
          <w:rFonts w:ascii="SegoePro-Bold" w:hAnsi="SegoePro-Bold" w:cs="SegoePro-Bold"/>
          <w:b/>
          <w:bCs/>
          <w:sz w:val="16"/>
          <w:szCs w:val="20"/>
        </w:rPr>
        <w:t xml:space="preserve">SEVERITY (S) </w:t>
      </w:r>
      <w:r w:rsidRPr="00505F86">
        <w:rPr>
          <w:rFonts w:ascii="SegoePro" w:hAnsi="SegoePro" w:cs="SegoePro"/>
          <w:sz w:val="16"/>
          <w:szCs w:val="20"/>
        </w:rPr>
        <w:t>= Catastrophic (5)</w:t>
      </w:r>
      <w:r>
        <w:rPr>
          <w:rFonts w:ascii="SegoePro" w:hAnsi="SegoePro" w:cs="SegoePro"/>
          <w:sz w:val="16"/>
          <w:szCs w:val="20"/>
        </w:rPr>
        <w:t xml:space="preserve">. </w:t>
      </w:r>
      <w:r w:rsidRPr="00505F86">
        <w:rPr>
          <w:rFonts w:ascii="SegoePro" w:hAnsi="SegoePro" w:cs="SegoePro"/>
          <w:sz w:val="16"/>
          <w:szCs w:val="20"/>
        </w:rPr>
        <w:t>Major (4)</w:t>
      </w:r>
      <w:r>
        <w:rPr>
          <w:rFonts w:ascii="SegoePro" w:hAnsi="SegoePro" w:cs="SegoePro"/>
          <w:sz w:val="16"/>
          <w:szCs w:val="20"/>
        </w:rPr>
        <w:t xml:space="preserve">, </w:t>
      </w:r>
      <w:r w:rsidRPr="00505F86">
        <w:rPr>
          <w:rFonts w:ascii="SegoePro" w:hAnsi="SegoePro" w:cs="SegoePro"/>
          <w:sz w:val="16"/>
          <w:szCs w:val="20"/>
        </w:rPr>
        <w:t>Reportable (3)</w:t>
      </w:r>
      <w:r>
        <w:rPr>
          <w:rFonts w:ascii="SegoePro" w:hAnsi="SegoePro" w:cs="SegoePro"/>
          <w:sz w:val="16"/>
          <w:szCs w:val="20"/>
        </w:rPr>
        <w:t xml:space="preserve">, </w:t>
      </w:r>
      <w:r w:rsidRPr="00505F86">
        <w:rPr>
          <w:rFonts w:ascii="SegoePro" w:hAnsi="SegoePro" w:cs="SegoePro"/>
          <w:sz w:val="16"/>
          <w:szCs w:val="20"/>
        </w:rPr>
        <w:t>Serious (2)</w:t>
      </w:r>
      <w:r>
        <w:rPr>
          <w:rFonts w:ascii="SegoePro" w:hAnsi="SegoePro" w:cs="SegoePro"/>
          <w:sz w:val="16"/>
          <w:szCs w:val="20"/>
        </w:rPr>
        <w:t xml:space="preserve">, </w:t>
      </w:r>
      <w:r w:rsidRPr="00505F86">
        <w:rPr>
          <w:rFonts w:ascii="SegoePro" w:hAnsi="SegoePro" w:cs="SegoePro"/>
          <w:sz w:val="16"/>
          <w:szCs w:val="20"/>
        </w:rPr>
        <w:t>Minor (1)</w:t>
      </w:r>
      <w:r>
        <w:rPr>
          <w:rFonts w:ascii="SegoePro" w:hAnsi="SegoePro" w:cs="SegoePro"/>
          <w:sz w:val="16"/>
          <w:szCs w:val="20"/>
        </w:rPr>
        <w:t xml:space="preserve">  </w:t>
      </w:r>
      <w:r w:rsidRPr="00505F86">
        <w:rPr>
          <w:rFonts w:ascii="SegoePro-Bold" w:hAnsi="SegoePro-Bold" w:cs="SegoePro-Bold"/>
          <w:b/>
          <w:bCs/>
          <w:sz w:val="16"/>
          <w:szCs w:val="20"/>
        </w:rPr>
        <w:t xml:space="preserve">Degree of Risk (DR) </w:t>
      </w:r>
      <w:r w:rsidRPr="00505F86">
        <w:rPr>
          <w:rFonts w:ascii="SegoePro" w:hAnsi="SegoePro" w:cs="SegoePro"/>
          <w:sz w:val="16"/>
          <w:szCs w:val="20"/>
        </w:rPr>
        <w:t>= LIKELIHOOD x SEVERITY</w:t>
      </w:r>
    </w:p>
    <w:tbl>
      <w:tblPr>
        <w:tblStyle w:val="TableGrid"/>
        <w:tblW w:w="0" w:type="auto"/>
        <w:tblLook w:val="04A0" w:firstRow="1" w:lastRow="0" w:firstColumn="1" w:lastColumn="0" w:noHBand="0" w:noVBand="1"/>
      </w:tblPr>
      <w:tblGrid>
        <w:gridCol w:w="3114"/>
        <w:gridCol w:w="3402"/>
        <w:gridCol w:w="3685"/>
        <w:gridCol w:w="3747"/>
      </w:tblGrid>
      <w:tr w:rsidR="00451EBF" w14:paraId="3EDB2CE9" w14:textId="77777777" w:rsidTr="00427967">
        <w:tc>
          <w:tcPr>
            <w:tcW w:w="3114" w:type="dxa"/>
          </w:tcPr>
          <w:p w14:paraId="2FB2BB84" w14:textId="77777777" w:rsidR="00451EBF" w:rsidRPr="00505F86" w:rsidRDefault="00451EBF" w:rsidP="00451EBF">
            <w:pPr>
              <w:autoSpaceDE w:val="0"/>
              <w:autoSpaceDN w:val="0"/>
              <w:adjustRightInd w:val="0"/>
              <w:rPr>
                <w:rFonts w:cstheme="minorHAnsi"/>
              </w:rPr>
            </w:pPr>
            <w:r w:rsidRPr="00505F86">
              <w:rPr>
                <w:rFonts w:cstheme="minorHAnsi"/>
              </w:rPr>
              <w:t>Person/s completing document</w:t>
            </w:r>
          </w:p>
        </w:tc>
        <w:tc>
          <w:tcPr>
            <w:tcW w:w="3402" w:type="dxa"/>
          </w:tcPr>
          <w:p w14:paraId="76D07B36" w14:textId="5B744A94" w:rsidR="00451EBF" w:rsidRDefault="00451EBF" w:rsidP="00451EBF">
            <w:pPr>
              <w:autoSpaceDE w:val="0"/>
              <w:autoSpaceDN w:val="0"/>
              <w:adjustRightInd w:val="0"/>
              <w:rPr>
                <w:rFonts w:cstheme="minorHAnsi"/>
                <w:sz w:val="18"/>
              </w:rPr>
            </w:pPr>
          </w:p>
        </w:tc>
        <w:tc>
          <w:tcPr>
            <w:tcW w:w="3685" w:type="dxa"/>
          </w:tcPr>
          <w:p w14:paraId="3713B2AA" w14:textId="77777777" w:rsidR="00451EBF" w:rsidRDefault="00451EBF" w:rsidP="00451EBF">
            <w:pPr>
              <w:autoSpaceDE w:val="0"/>
              <w:autoSpaceDN w:val="0"/>
              <w:adjustRightInd w:val="0"/>
              <w:rPr>
                <w:rFonts w:cstheme="minorHAnsi"/>
                <w:sz w:val="18"/>
              </w:rPr>
            </w:pPr>
          </w:p>
        </w:tc>
        <w:tc>
          <w:tcPr>
            <w:tcW w:w="3747" w:type="dxa"/>
          </w:tcPr>
          <w:p w14:paraId="09B9FAE7" w14:textId="77777777" w:rsidR="00451EBF" w:rsidRDefault="00451EBF" w:rsidP="00451EBF">
            <w:pPr>
              <w:autoSpaceDE w:val="0"/>
              <w:autoSpaceDN w:val="0"/>
              <w:adjustRightInd w:val="0"/>
              <w:rPr>
                <w:rFonts w:cstheme="minorHAnsi"/>
                <w:sz w:val="18"/>
              </w:rPr>
            </w:pPr>
          </w:p>
        </w:tc>
      </w:tr>
      <w:tr w:rsidR="00451EBF" w14:paraId="1A9B16A1" w14:textId="77777777" w:rsidTr="00427967">
        <w:tc>
          <w:tcPr>
            <w:tcW w:w="3114" w:type="dxa"/>
          </w:tcPr>
          <w:p w14:paraId="7956BAF0" w14:textId="77777777" w:rsidR="00451EBF" w:rsidRPr="00505F86" w:rsidRDefault="00451EBF" w:rsidP="00451EBF">
            <w:pPr>
              <w:autoSpaceDE w:val="0"/>
              <w:autoSpaceDN w:val="0"/>
              <w:adjustRightInd w:val="0"/>
              <w:rPr>
                <w:rFonts w:cstheme="minorHAnsi"/>
              </w:rPr>
            </w:pPr>
            <w:r w:rsidRPr="00505F86">
              <w:rPr>
                <w:rFonts w:cstheme="minorHAnsi"/>
              </w:rPr>
              <w:t>Signatures/s</w:t>
            </w:r>
          </w:p>
        </w:tc>
        <w:tc>
          <w:tcPr>
            <w:tcW w:w="3402" w:type="dxa"/>
          </w:tcPr>
          <w:p w14:paraId="0F4E704B" w14:textId="77777777" w:rsidR="00451EBF" w:rsidRDefault="00451EBF" w:rsidP="00451EBF">
            <w:pPr>
              <w:autoSpaceDE w:val="0"/>
              <w:autoSpaceDN w:val="0"/>
              <w:adjustRightInd w:val="0"/>
              <w:rPr>
                <w:rFonts w:cstheme="minorHAnsi"/>
                <w:sz w:val="18"/>
              </w:rPr>
            </w:pPr>
          </w:p>
        </w:tc>
        <w:tc>
          <w:tcPr>
            <w:tcW w:w="3685" w:type="dxa"/>
          </w:tcPr>
          <w:p w14:paraId="4F369E53" w14:textId="77777777" w:rsidR="00451EBF" w:rsidRDefault="00451EBF" w:rsidP="00451EBF">
            <w:pPr>
              <w:autoSpaceDE w:val="0"/>
              <w:autoSpaceDN w:val="0"/>
              <w:adjustRightInd w:val="0"/>
              <w:rPr>
                <w:rFonts w:cstheme="minorHAnsi"/>
                <w:sz w:val="18"/>
              </w:rPr>
            </w:pPr>
          </w:p>
        </w:tc>
        <w:tc>
          <w:tcPr>
            <w:tcW w:w="3747" w:type="dxa"/>
          </w:tcPr>
          <w:p w14:paraId="7D64AF04" w14:textId="77777777" w:rsidR="00451EBF" w:rsidRDefault="00451EBF" w:rsidP="00451EBF">
            <w:pPr>
              <w:autoSpaceDE w:val="0"/>
              <w:autoSpaceDN w:val="0"/>
              <w:adjustRightInd w:val="0"/>
              <w:rPr>
                <w:rFonts w:cstheme="minorHAnsi"/>
                <w:sz w:val="18"/>
              </w:rPr>
            </w:pPr>
          </w:p>
        </w:tc>
      </w:tr>
      <w:tr w:rsidR="00451EBF" w14:paraId="572FAD69" w14:textId="77777777" w:rsidTr="00427967">
        <w:tc>
          <w:tcPr>
            <w:tcW w:w="3114" w:type="dxa"/>
          </w:tcPr>
          <w:p w14:paraId="4ABFE0CD" w14:textId="77777777" w:rsidR="00451EBF" w:rsidRPr="00505F86" w:rsidRDefault="00451EBF" w:rsidP="00451EBF">
            <w:pPr>
              <w:autoSpaceDE w:val="0"/>
              <w:autoSpaceDN w:val="0"/>
              <w:adjustRightInd w:val="0"/>
              <w:rPr>
                <w:rFonts w:cstheme="minorHAnsi"/>
              </w:rPr>
            </w:pPr>
            <w:r w:rsidRPr="00505F86">
              <w:rPr>
                <w:rFonts w:cstheme="minorHAnsi"/>
              </w:rPr>
              <w:t>Position</w:t>
            </w:r>
          </w:p>
        </w:tc>
        <w:tc>
          <w:tcPr>
            <w:tcW w:w="3402" w:type="dxa"/>
          </w:tcPr>
          <w:p w14:paraId="3E1FE8CC" w14:textId="40FFA66B" w:rsidR="00451EBF" w:rsidRDefault="00451EBF" w:rsidP="00451EBF">
            <w:pPr>
              <w:autoSpaceDE w:val="0"/>
              <w:autoSpaceDN w:val="0"/>
              <w:adjustRightInd w:val="0"/>
              <w:rPr>
                <w:rFonts w:cstheme="minorHAnsi"/>
                <w:sz w:val="18"/>
              </w:rPr>
            </w:pPr>
          </w:p>
        </w:tc>
        <w:tc>
          <w:tcPr>
            <w:tcW w:w="3685" w:type="dxa"/>
          </w:tcPr>
          <w:p w14:paraId="6932A928" w14:textId="77777777" w:rsidR="00451EBF" w:rsidRDefault="00451EBF" w:rsidP="00451EBF">
            <w:pPr>
              <w:autoSpaceDE w:val="0"/>
              <w:autoSpaceDN w:val="0"/>
              <w:adjustRightInd w:val="0"/>
              <w:rPr>
                <w:rFonts w:cstheme="minorHAnsi"/>
                <w:sz w:val="18"/>
              </w:rPr>
            </w:pPr>
          </w:p>
        </w:tc>
        <w:tc>
          <w:tcPr>
            <w:tcW w:w="3747" w:type="dxa"/>
          </w:tcPr>
          <w:p w14:paraId="57905592" w14:textId="77777777" w:rsidR="00451EBF" w:rsidRDefault="00451EBF" w:rsidP="00451EBF">
            <w:pPr>
              <w:autoSpaceDE w:val="0"/>
              <w:autoSpaceDN w:val="0"/>
              <w:adjustRightInd w:val="0"/>
              <w:rPr>
                <w:rFonts w:cstheme="minorHAnsi"/>
                <w:sz w:val="18"/>
              </w:rPr>
            </w:pPr>
          </w:p>
        </w:tc>
      </w:tr>
      <w:tr w:rsidR="00451EBF" w14:paraId="4C556827" w14:textId="77777777" w:rsidTr="00427967">
        <w:tc>
          <w:tcPr>
            <w:tcW w:w="3114" w:type="dxa"/>
          </w:tcPr>
          <w:p w14:paraId="5B1C7A26" w14:textId="77777777" w:rsidR="00451EBF" w:rsidRPr="00505F86" w:rsidRDefault="00451EBF" w:rsidP="00427967">
            <w:pPr>
              <w:autoSpaceDE w:val="0"/>
              <w:autoSpaceDN w:val="0"/>
              <w:adjustRightInd w:val="0"/>
              <w:rPr>
                <w:rFonts w:cstheme="minorHAnsi"/>
              </w:rPr>
            </w:pPr>
            <w:r w:rsidRPr="00505F86">
              <w:rPr>
                <w:rFonts w:cstheme="minorHAnsi"/>
              </w:rPr>
              <w:t>Time and dat</w:t>
            </w:r>
            <w:r>
              <w:rPr>
                <w:rFonts w:cstheme="minorHAnsi"/>
              </w:rPr>
              <w:t>e</w:t>
            </w:r>
            <w:r w:rsidRPr="00505F86">
              <w:rPr>
                <w:rFonts w:cstheme="minorHAnsi"/>
              </w:rPr>
              <w:t xml:space="preserve"> completed</w:t>
            </w:r>
          </w:p>
        </w:tc>
        <w:tc>
          <w:tcPr>
            <w:tcW w:w="3402" w:type="dxa"/>
          </w:tcPr>
          <w:p w14:paraId="6E86D7F2" w14:textId="2AA01C8E" w:rsidR="00451EBF" w:rsidRDefault="00451EBF" w:rsidP="00427967">
            <w:pPr>
              <w:autoSpaceDE w:val="0"/>
              <w:autoSpaceDN w:val="0"/>
              <w:adjustRightInd w:val="0"/>
              <w:rPr>
                <w:rFonts w:cstheme="minorHAnsi"/>
                <w:sz w:val="18"/>
              </w:rPr>
            </w:pPr>
          </w:p>
        </w:tc>
        <w:tc>
          <w:tcPr>
            <w:tcW w:w="3685" w:type="dxa"/>
          </w:tcPr>
          <w:p w14:paraId="46175E71" w14:textId="77777777" w:rsidR="00451EBF" w:rsidRDefault="00451EBF" w:rsidP="00427967">
            <w:pPr>
              <w:autoSpaceDE w:val="0"/>
              <w:autoSpaceDN w:val="0"/>
              <w:adjustRightInd w:val="0"/>
              <w:rPr>
                <w:rFonts w:cstheme="minorHAnsi"/>
                <w:sz w:val="18"/>
              </w:rPr>
            </w:pPr>
          </w:p>
        </w:tc>
        <w:tc>
          <w:tcPr>
            <w:tcW w:w="3747" w:type="dxa"/>
          </w:tcPr>
          <w:p w14:paraId="098EF4E3" w14:textId="77777777" w:rsidR="00451EBF" w:rsidRDefault="00451EBF" w:rsidP="00427967">
            <w:pPr>
              <w:autoSpaceDE w:val="0"/>
              <w:autoSpaceDN w:val="0"/>
              <w:adjustRightInd w:val="0"/>
              <w:rPr>
                <w:rFonts w:cstheme="minorHAnsi"/>
                <w:sz w:val="18"/>
              </w:rPr>
            </w:pPr>
          </w:p>
        </w:tc>
      </w:tr>
    </w:tbl>
    <w:p w14:paraId="23321CF2" w14:textId="77777777" w:rsidR="00623642" w:rsidRDefault="00623642" w:rsidP="00451EBF"/>
    <w:sectPr w:rsidR="00623642" w:rsidSect="00451EB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Pro">
    <w:altName w:val="Segoe UI"/>
    <w:panose1 w:val="00000000000000000000"/>
    <w:charset w:val="00"/>
    <w:family w:val="auto"/>
    <w:notTrueType/>
    <w:pitch w:val="default"/>
    <w:sig w:usb0="00000003" w:usb1="00000000" w:usb2="00000000" w:usb3="00000000" w:csb0="00000001" w:csb1="00000000"/>
  </w:font>
  <w:font w:name="SegoePro-Bold">
    <w:altName w:val="Segoe U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4B2E"/>
    <w:multiLevelType w:val="hybridMultilevel"/>
    <w:tmpl w:val="EB04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D7C29"/>
    <w:multiLevelType w:val="hybridMultilevel"/>
    <w:tmpl w:val="00CE1D9E"/>
    <w:lvl w:ilvl="0" w:tplc="364A07BC">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638120A8"/>
    <w:multiLevelType w:val="hybridMultilevel"/>
    <w:tmpl w:val="00B21B06"/>
    <w:lvl w:ilvl="0" w:tplc="364A07BC">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684328CB"/>
    <w:multiLevelType w:val="hybridMultilevel"/>
    <w:tmpl w:val="524CADDA"/>
    <w:lvl w:ilvl="0" w:tplc="364A07BC">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6DCF6419"/>
    <w:multiLevelType w:val="hybridMultilevel"/>
    <w:tmpl w:val="D6FE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418CD"/>
    <w:multiLevelType w:val="multilevel"/>
    <w:tmpl w:val="4E5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6B"/>
    <w:rsid w:val="000C286B"/>
    <w:rsid w:val="000E1A9D"/>
    <w:rsid w:val="0013328F"/>
    <w:rsid w:val="00295520"/>
    <w:rsid w:val="00451EBF"/>
    <w:rsid w:val="004707CB"/>
    <w:rsid w:val="0048037A"/>
    <w:rsid w:val="00623642"/>
    <w:rsid w:val="007B0AD5"/>
    <w:rsid w:val="00902C5F"/>
    <w:rsid w:val="00910E6D"/>
    <w:rsid w:val="00D44A0F"/>
    <w:rsid w:val="00E428CA"/>
    <w:rsid w:val="00FD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694F"/>
  <w15:chartTrackingRefBased/>
  <w15:docId w15:val="{CFD16C5B-22D3-445C-A6E8-98248155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28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8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C286B"/>
    <w:pPr>
      <w:ind w:left="720"/>
      <w:contextualSpacing/>
    </w:pPr>
  </w:style>
  <w:style w:type="table" w:styleId="TableGrid">
    <w:name w:val="Table Grid"/>
    <w:basedOn w:val="TableNormal"/>
    <w:uiPriority w:val="39"/>
    <w:rsid w:val="0045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91212">
      <w:bodyDiv w:val="1"/>
      <w:marLeft w:val="0"/>
      <w:marRight w:val="0"/>
      <w:marTop w:val="0"/>
      <w:marBottom w:val="0"/>
      <w:divBdr>
        <w:top w:val="none" w:sz="0" w:space="0" w:color="auto"/>
        <w:left w:val="none" w:sz="0" w:space="0" w:color="auto"/>
        <w:bottom w:val="none" w:sz="0" w:space="0" w:color="auto"/>
        <w:right w:val="none" w:sz="0" w:space="0" w:color="auto"/>
      </w:divBdr>
    </w:div>
    <w:div w:id="12508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Mark Robinson</cp:lastModifiedBy>
  <cp:revision>6</cp:revision>
  <cp:lastPrinted>2019-05-22T11:36:00Z</cp:lastPrinted>
  <dcterms:created xsi:type="dcterms:W3CDTF">2019-05-22T10:12:00Z</dcterms:created>
  <dcterms:modified xsi:type="dcterms:W3CDTF">2019-05-22T11:43:00Z</dcterms:modified>
</cp:coreProperties>
</file>